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5C0F84" w:rsidRDefault="001E2916" w:rsidP="005C0F8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C0F84">
        <w:rPr>
          <w:rFonts w:ascii="Times New Roman" w:hAnsi="Times New Roman" w:cs="Times New Roman"/>
          <w:b/>
          <w:bCs/>
        </w:rPr>
        <w:t>RESOLUÇÃO CES/AL Nº 0</w:t>
      </w:r>
      <w:r w:rsidR="002B4F93" w:rsidRPr="005C0F84">
        <w:rPr>
          <w:rFonts w:ascii="Times New Roman" w:hAnsi="Times New Roman" w:cs="Times New Roman"/>
          <w:b/>
          <w:bCs/>
        </w:rPr>
        <w:t>1</w:t>
      </w:r>
      <w:r w:rsidR="0048235D" w:rsidRPr="005C0F84">
        <w:rPr>
          <w:rFonts w:ascii="Times New Roman" w:hAnsi="Times New Roman" w:cs="Times New Roman"/>
          <w:b/>
          <w:bCs/>
        </w:rPr>
        <w:t>3</w:t>
      </w:r>
      <w:r w:rsidR="00AC4389" w:rsidRPr="005C0F84">
        <w:rPr>
          <w:rFonts w:ascii="Times New Roman" w:hAnsi="Times New Roman" w:cs="Times New Roman"/>
          <w:b/>
          <w:bCs/>
        </w:rPr>
        <w:t>,</w:t>
      </w:r>
      <w:r w:rsidRPr="005C0F84">
        <w:rPr>
          <w:rFonts w:ascii="Times New Roman" w:hAnsi="Times New Roman" w:cs="Times New Roman"/>
          <w:b/>
          <w:bCs/>
        </w:rPr>
        <w:t xml:space="preserve"> DE </w:t>
      </w:r>
      <w:r w:rsidR="0048235D" w:rsidRPr="005C0F84">
        <w:rPr>
          <w:rFonts w:ascii="Times New Roman" w:hAnsi="Times New Roman" w:cs="Times New Roman"/>
          <w:b/>
          <w:bCs/>
        </w:rPr>
        <w:t>2</w:t>
      </w:r>
      <w:r w:rsidR="002B4F93" w:rsidRPr="005C0F84">
        <w:rPr>
          <w:rFonts w:ascii="Times New Roman" w:hAnsi="Times New Roman" w:cs="Times New Roman"/>
          <w:b/>
          <w:bCs/>
        </w:rPr>
        <w:t>3</w:t>
      </w:r>
      <w:r w:rsidR="00BD585E" w:rsidRPr="005C0F84">
        <w:rPr>
          <w:rFonts w:ascii="Times New Roman" w:hAnsi="Times New Roman" w:cs="Times New Roman"/>
          <w:b/>
          <w:bCs/>
        </w:rPr>
        <w:t xml:space="preserve"> DE </w:t>
      </w:r>
      <w:r w:rsidR="0048235D" w:rsidRPr="005C0F84">
        <w:rPr>
          <w:rFonts w:ascii="Times New Roman" w:hAnsi="Times New Roman" w:cs="Times New Roman"/>
          <w:b/>
          <w:bCs/>
        </w:rPr>
        <w:t>NOVEMBRO</w:t>
      </w:r>
      <w:r w:rsidR="00FE3B21" w:rsidRPr="005C0F84">
        <w:rPr>
          <w:rFonts w:ascii="Times New Roman" w:hAnsi="Times New Roman" w:cs="Times New Roman"/>
          <w:b/>
          <w:bCs/>
        </w:rPr>
        <w:t xml:space="preserve"> DE 2020.</w:t>
      </w:r>
    </w:p>
    <w:p w:rsidR="001E2916" w:rsidRPr="005C0F84" w:rsidRDefault="001E291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F02DDC" w:rsidRPr="005C0F84" w:rsidRDefault="00F02DDC" w:rsidP="005C0F84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O Conselho Estadual de Saúde de Alagoas (CES/AL), em sua </w:t>
      </w:r>
      <w:r w:rsidR="00E61E00" w:rsidRPr="005C0F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8235D" w:rsidRPr="005C0F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>ª (</w:t>
      </w:r>
      <w:r w:rsidR="00294F5C" w:rsidRPr="005C0F84">
        <w:rPr>
          <w:rFonts w:ascii="Times New Roman" w:hAnsi="Times New Roman" w:cs="Times New Roman"/>
          <w:color w:val="000000"/>
          <w:sz w:val="24"/>
          <w:szCs w:val="24"/>
        </w:rPr>
        <w:t>oct</w:t>
      </w:r>
      <w:r w:rsidR="00294F5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94F5C" w:rsidRPr="005C0F84">
        <w:rPr>
          <w:rFonts w:ascii="Times New Roman" w:hAnsi="Times New Roman" w:cs="Times New Roman"/>
          <w:color w:val="000000"/>
          <w:sz w:val="24"/>
          <w:szCs w:val="24"/>
        </w:rPr>
        <w:t>gésima</w:t>
      </w:r>
      <w:r w:rsidR="00E61E00"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35D" w:rsidRPr="005C0F84">
        <w:rPr>
          <w:rFonts w:ascii="Times New Roman" w:hAnsi="Times New Roman" w:cs="Times New Roman"/>
          <w:color w:val="000000"/>
          <w:sz w:val="24"/>
          <w:szCs w:val="24"/>
        </w:rPr>
        <w:t>sexta</w:t>
      </w:r>
      <w:r w:rsidR="00E61E00" w:rsidRPr="005C0F8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Reunião </w:t>
      </w:r>
      <w:r w:rsidR="00E61E00" w:rsidRPr="005C0F84">
        <w:rPr>
          <w:rFonts w:ascii="Times New Roman" w:hAnsi="Times New Roman" w:cs="Times New Roman"/>
          <w:color w:val="000000"/>
          <w:sz w:val="24"/>
          <w:szCs w:val="24"/>
        </w:rPr>
        <w:t>Extrao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rdinária, realizada no dia </w:t>
      </w:r>
      <w:r w:rsidR="0048235D" w:rsidRPr="005C0F8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365E79"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8235D" w:rsidRPr="005C0F84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de 2020, no uso de suas competências regimentais e com base na legislação do SUS, Lei nº. 8.080, de 19 de setembro de 1990 e na Lei nº. 8.142, de 28 de dezembro de 1990,</w:t>
      </w:r>
      <w:r w:rsidRPr="005C0F84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E61E00" w:rsidRPr="005C0F84" w:rsidRDefault="00A07057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a </w:t>
      </w:r>
      <w:r w:rsidR="002B4F93"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Resolução nº. 453, do Conselho Nacional de Saúde de 10 de maio de 2012 - </w:t>
      </w:r>
      <w:r w:rsidRPr="005C0F84">
        <w:rPr>
          <w:rFonts w:ascii="Times New Roman" w:hAnsi="Times New Roman" w:cs="Times New Roman"/>
          <w:sz w:val="24"/>
          <w:szCs w:val="24"/>
        </w:rPr>
        <w:t xml:space="preserve">Da Estrutura e Funcionamento dos Conselhos de Saúde, </w:t>
      </w:r>
      <w:r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>Qu</w:t>
      </w:r>
      <w:r w:rsidR="001F1DD5"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>inta</w:t>
      </w:r>
      <w:r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Diretriz</w:t>
      </w:r>
      <w:r w:rsidR="00321A47"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21A47" w:rsidRPr="005C0F84">
        <w:rPr>
          <w:rFonts w:ascii="Times New Roman" w:hAnsi="Times New Roman" w:cs="Times New Roman"/>
          <w:sz w:val="24"/>
          <w:szCs w:val="24"/>
        </w:rPr>
        <w:t>aos Conselhos de Saúde Nacional, Estaduais, Municipais e do Distrito Federal, que têm competências definidas nas leis federais, bem como em indicações advindas das Conferências de Saúde, compete:...</w:t>
      </w:r>
      <w:r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inciso VI </w:t>
      </w:r>
      <w:r w:rsidR="003C3B06"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F1DD5"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anualmente </w:t>
      </w:r>
      <w:r w:rsidR="001F1DD5" w:rsidRPr="005C0F84">
        <w:rPr>
          <w:rFonts w:ascii="Times New Roman" w:hAnsi="Times New Roman" w:cs="Times New Roman"/>
          <w:sz w:val="24"/>
          <w:szCs w:val="24"/>
        </w:rPr>
        <w:t>deliberar sobre a aprovação ou não do relatório de gestão;</w:t>
      </w:r>
    </w:p>
    <w:p w:rsidR="008A7AF9" w:rsidRPr="005C0F84" w:rsidRDefault="003C3B06" w:rsidP="005C0F8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Artigo 3º, Inciso IV da Lei Estadual nº.</w:t>
      </w:r>
      <w:r w:rsidR="00A07057"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7.400, de 06 de agosto de 2012, </w:t>
      </w:r>
      <w:r w:rsidR="008A7AF9"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compete ao Conselho Estadual de Saúde </w:t>
      </w:r>
      <w:r w:rsidRPr="005C0F8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A7AF9" w:rsidRPr="005C0F84">
        <w:rPr>
          <w:rFonts w:ascii="Times New Roman" w:hAnsi="Times New Roman" w:cs="Times New Roman"/>
          <w:sz w:val="24"/>
          <w:szCs w:val="24"/>
        </w:rPr>
        <w:t>analisar, discutir e apreciar o Relatório de Gestão Anual da Secretaria de Estado da Saúde com a prestação de contas trimestral e informações financeiras, repassadas em tempo hábil aos conselheiros, com acompanhamento de assessoria especializada;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C0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F84">
        <w:rPr>
          <w:rFonts w:ascii="Times New Roman" w:hAnsi="Times New Roman" w:cs="Times New Roman"/>
          <w:bCs/>
          <w:sz w:val="24"/>
          <w:szCs w:val="24"/>
        </w:rPr>
        <w:t>a t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endência de aumento no número de internamentos e óbitos classificados nos capítulo II - </w:t>
      </w:r>
      <w:r w:rsidRPr="005C0F84">
        <w:rPr>
          <w:rFonts w:ascii="Times New Roman" w:hAnsi="Times New Roman" w:cs="Times New Roman"/>
          <w:i/>
          <w:sz w:val="24"/>
          <w:szCs w:val="24"/>
        </w:rPr>
        <w:t xml:space="preserve">Neoplasias [tumores], </w:t>
      </w:r>
      <w:r w:rsidRPr="005C0F84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se comparado aos anos anteriores, e assim como no </w:t>
      </w:r>
      <w:proofErr w:type="spellStart"/>
      <w:r w:rsidR="00294F5C" w:rsidRPr="005C0F84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Rag</w:t>
      </w:r>
      <w:proofErr w:type="spellEnd"/>
      <w:r w:rsidRPr="005C0F84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2017, mais uma vez houve o descumprimento da </w:t>
      </w:r>
      <w:r w:rsidRPr="005C0F84">
        <w:rPr>
          <w:rFonts w:ascii="Times New Roman" w:hAnsi="Times New Roman" w:cs="Times New Roman"/>
          <w:sz w:val="24"/>
          <w:szCs w:val="24"/>
        </w:rPr>
        <w:t xml:space="preserve">Lei nº 12.732, de 2012, que dispõe sobre o primeiro tratamento de paciente com neoplasia maligna comprovada e estabelece prazo para seu início, onde em seu 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>Art. 2º dispõe que o paciente com neoplasia maligna tem direito de se submeter ao primeiro tratamento no Sistema Único de Saúde (SUS), no prazo de até 60 (sessenta) dias contados a partir do dia em que for firmado o diagnóstico em laudo patológico ou em prazo menor, conforme a necessidade terapêutica do caso registrado em prontuário único;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F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</w:t>
      </w:r>
      <w:r w:rsidRPr="005C0F84">
        <w:rPr>
          <w:rFonts w:ascii="Times New Roman" w:eastAsiaTheme="minorHAnsi" w:hAnsi="Times New Roman" w:cs="Times New Roman"/>
          <w:sz w:val="24"/>
          <w:szCs w:val="24"/>
          <w:lang w:eastAsia="en-US"/>
        </w:rPr>
        <w:t>que a perda dentária é uma das consequências da carie dentária e doença periodontal, e que a dificuldade de acesso dos usuários, bem como os baixos investimentos nas ações de promoção, prevenção e atendimento curativo por parte dos profissionais da atenção básica, com</w:t>
      </w:r>
      <w:r w:rsidR="000A55F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Pr="005C0F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também a carência de serviços especializados tem agravado a perda dentária de nossa população;</w:t>
      </w:r>
    </w:p>
    <w:p w:rsidR="00FE16C6" w:rsidRPr="005C0F84" w:rsidRDefault="00FE16C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5C0F84">
        <w:rPr>
          <w:rFonts w:ascii="Times New Roman" w:hAnsi="Times New Roman" w:cs="Times New Roman"/>
          <w:bCs/>
        </w:rPr>
        <w:t>que a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s ações desenvolvidas para o fortalecimento da </w:t>
      </w:r>
      <w:r w:rsidRPr="005C0F84">
        <w:rPr>
          <w:rFonts w:ascii="Times New Roman" w:hAnsi="Times New Roman" w:cs="Times New Roman"/>
          <w:bCs/>
        </w:rPr>
        <w:t>Rede de Atenção Psicossocial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(RAPS) precisam de maior empenho da gestão estadual e Municipal;</w:t>
      </w:r>
    </w:p>
    <w:p w:rsidR="00FE16C6" w:rsidRPr="005C0F84" w:rsidRDefault="00FE16C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5C0F84">
        <w:rPr>
          <w:rFonts w:ascii="Times New Roman" w:hAnsi="Times New Roman" w:cs="Times New Roman"/>
          <w:color w:val="000000" w:themeColor="text1"/>
        </w:rPr>
        <w:t xml:space="preserve">a inexistência de investimentos específicos </w:t>
      </w:r>
      <w:r w:rsidRPr="005C0F84">
        <w:rPr>
          <w:rFonts w:ascii="Times New Roman" w:hAnsi="Times New Roman" w:cs="Times New Roman"/>
        </w:rPr>
        <w:t>na</w:t>
      </w:r>
      <w:r w:rsidRPr="005C0F84">
        <w:rPr>
          <w:rFonts w:ascii="Times New Roman" w:hAnsi="Times New Roman" w:cs="Times New Roman"/>
          <w:b/>
        </w:rPr>
        <w:t xml:space="preserve"> </w:t>
      </w:r>
      <w:r w:rsidRPr="005C0F84">
        <w:rPr>
          <w:rFonts w:ascii="Times New Roman" w:hAnsi="Times New Roman" w:cs="Times New Roman"/>
          <w:bCs/>
          <w:color w:val="000000" w:themeColor="text1"/>
        </w:rPr>
        <w:t xml:space="preserve">Rede de Cuidados à Pessoa com </w:t>
      </w:r>
      <w:r w:rsidR="00294F5C" w:rsidRPr="005C0F84">
        <w:rPr>
          <w:rFonts w:ascii="Times New Roman" w:hAnsi="Times New Roman" w:cs="Times New Roman"/>
          <w:bCs/>
          <w:color w:val="000000" w:themeColor="text1"/>
        </w:rPr>
        <w:t>Deficiência,</w:t>
      </w:r>
      <w:r w:rsidRPr="005C0F8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C0F84">
        <w:rPr>
          <w:rFonts w:ascii="Times New Roman" w:hAnsi="Times New Roman" w:cs="Times New Roman"/>
          <w:color w:val="000000" w:themeColor="text1"/>
        </w:rPr>
        <w:t xml:space="preserve">aumentando a cada dia a demanda reprimida para órteses e próteses, e meios auxiliares de locomoção, ficando este segmento financiado apenas com recursos federais; 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  <w:b/>
        </w:rPr>
        <w:t>Considerando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que as ações para fortalecer a Rede </w:t>
      </w:r>
      <w:r w:rsidRPr="005C0F84">
        <w:rPr>
          <w:rFonts w:ascii="Times New Roman" w:hAnsi="Times New Roman" w:cs="Times New Roman"/>
          <w:bCs/>
        </w:rPr>
        <w:t>de Atenção às Condições Crônicas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precisam ser intensificadas, principalmente àquelas voltadas para a melhoria do acesso das mulheres aos exames diagnósticos de Ca de mama e de útero;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917F67">
        <w:rPr>
          <w:rFonts w:ascii="Times New Roman" w:hAnsi="Times New Roman" w:cs="Times New Roman"/>
        </w:rPr>
        <w:t>que as</w:t>
      </w:r>
      <w:r w:rsidRPr="005C0F84">
        <w:rPr>
          <w:rFonts w:ascii="Times New Roman" w:hAnsi="Times New Roman" w:cs="Times New Roman"/>
        </w:rPr>
        <w:t xml:space="preserve"> ações voltadas para a redução da mortalidade materna</w:t>
      </w:r>
      <w:r w:rsidRPr="005C0F84">
        <w:rPr>
          <w:rFonts w:ascii="Times New Roman" w:hAnsi="Times New Roman" w:cs="Times New Roman"/>
          <w:bCs/>
        </w:rPr>
        <w:t>, fetal e na infância precisam ter maior impacto no alcance dos indicadores</w:t>
      </w:r>
      <w:r w:rsidR="00917F67">
        <w:rPr>
          <w:rFonts w:ascii="Times New Roman" w:hAnsi="Times New Roman" w:cs="Times New Roman"/>
          <w:bCs/>
        </w:rPr>
        <w:t>;</w:t>
      </w:r>
      <w:r w:rsidRPr="005C0F84">
        <w:rPr>
          <w:rFonts w:ascii="Times New Roman" w:hAnsi="Times New Roman" w:cs="Times New Roman"/>
          <w:bCs/>
        </w:rPr>
        <w:t xml:space="preserve"> 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917F67">
        <w:rPr>
          <w:rFonts w:ascii="Times New Roman" w:hAnsi="Times New Roman" w:cs="Times New Roman"/>
        </w:rPr>
        <w:t>que</w:t>
      </w:r>
      <w:r w:rsidRPr="005C0F84">
        <w:rPr>
          <w:rFonts w:ascii="Times New Roman" w:hAnsi="Times New Roman" w:cs="Times New Roman"/>
          <w:bCs/>
        </w:rPr>
        <w:t xml:space="preserve"> ainda não se consegue reduzir os óbitos fetais, onde a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sua ocorrência possui relação com fatores ligados à gestação e ao parto, principalmente às condições de acesso aos serviços de saúde e à qualidade da assistência no pré-natal e ao parto; 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917F67">
        <w:rPr>
          <w:rFonts w:ascii="Times New Roman" w:hAnsi="Times New Roman" w:cs="Times New Roman"/>
        </w:rPr>
        <w:t>que</w:t>
      </w:r>
      <w:r w:rsidRPr="005C0F84">
        <w:rPr>
          <w:rFonts w:ascii="Times New Roman" w:hAnsi="Times New Roman" w:cs="Times New Roman"/>
          <w:bCs/>
        </w:rPr>
        <w:t xml:space="preserve"> o número de casos novos de sífilis congênita em menores de um ano de idade triplicou a meta estabelecida, apesar de ter sido elaborado o </w:t>
      </w:r>
      <w:r w:rsidRPr="005C0F84">
        <w:rPr>
          <w:rFonts w:ascii="Times New Roman" w:hAnsi="Times New Roman" w:cs="Times New Roman"/>
        </w:rPr>
        <w:t xml:space="preserve">Plano de Ação para diminuição do número de casos novos de Sífilis Congênita e </w:t>
      </w:r>
      <w:r w:rsidRPr="005C0F84">
        <w:rPr>
          <w:rFonts w:ascii="Times New Roman" w:hAnsi="Times New Roman" w:cs="Times New Roman"/>
          <w:bCs/>
        </w:rPr>
        <w:t>ter aumentado a proporção de</w:t>
      </w:r>
      <w:r w:rsidR="00294F5C" w:rsidRPr="005C0F84">
        <w:rPr>
          <w:rFonts w:ascii="Times New Roman" w:hAnsi="Times New Roman" w:cs="Times New Roman"/>
          <w:bCs/>
        </w:rPr>
        <w:t xml:space="preserve"> </w:t>
      </w:r>
      <w:r w:rsidRPr="005C0F84">
        <w:rPr>
          <w:rFonts w:ascii="Times New Roman" w:hAnsi="Times New Roman" w:cs="Times New Roman"/>
        </w:rPr>
        <w:t>Nascidos Vivos de Mães com 7 ou Mais Consultas de Pré-Natal</w:t>
      </w:r>
      <w:r w:rsidR="00917F67">
        <w:rPr>
          <w:rFonts w:ascii="Times New Roman" w:hAnsi="Times New Roman" w:cs="Times New Roman"/>
        </w:rPr>
        <w:t>;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/>
        </w:rPr>
        <w:lastRenderedPageBreak/>
        <w:t xml:space="preserve">Considerando </w:t>
      </w:r>
      <w:r w:rsidRPr="00917F67">
        <w:rPr>
          <w:rFonts w:ascii="Times New Roman" w:hAnsi="Times New Roman" w:cs="Times New Roman"/>
        </w:rPr>
        <w:t>que</w:t>
      </w:r>
      <w:r w:rsidRPr="005C0F84">
        <w:rPr>
          <w:rFonts w:ascii="Times New Roman" w:hAnsi="Times New Roman" w:cs="Times New Roman"/>
        </w:rPr>
        <w:t xml:space="preserve"> é preocupante a p</w:t>
      </w:r>
      <w:r w:rsidRPr="005C0F84">
        <w:rPr>
          <w:rFonts w:ascii="Times New Roman" w:hAnsi="Times New Roman" w:cs="Times New Roman"/>
          <w:bCs/>
        </w:rPr>
        <w:t>roporção de gravidez na adolescência entre as faixas etárias 10 a 19 anos;</w:t>
      </w:r>
    </w:p>
    <w:p w:rsidR="00FE16C6" w:rsidRPr="005C0F84" w:rsidRDefault="00FE16C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917F67">
        <w:rPr>
          <w:rFonts w:ascii="Times New Roman" w:hAnsi="Times New Roman" w:cs="Times New Roman"/>
        </w:rPr>
        <w:t>que a</w:t>
      </w:r>
      <w:r w:rsidRPr="005C0F84">
        <w:rPr>
          <w:rFonts w:ascii="Times New Roman" w:hAnsi="Times New Roman" w:cs="Times New Roman"/>
        </w:rPr>
        <w:t>pesar da maioria das ações</w:t>
      </w:r>
      <w:r w:rsidR="00312F29">
        <w:rPr>
          <w:rFonts w:ascii="Times New Roman" w:hAnsi="Times New Roman" w:cs="Times New Roman"/>
        </w:rPr>
        <w:t xml:space="preserve"> planejadas para o </w:t>
      </w:r>
      <w:r w:rsidR="00312F29" w:rsidRPr="00312F29">
        <w:t>uso da epidemiologia para conhecimento e análise da situação de saúde e para o estabelecimento de prioridades</w:t>
      </w:r>
      <w:r w:rsidRPr="005C0F84">
        <w:rPr>
          <w:rFonts w:ascii="Times New Roman" w:hAnsi="Times New Roman" w:cs="Times New Roman"/>
        </w:rPr>
        <w:t xml:space="preserve"> </w:t>
      </w:r>
      <w:proofErr w:type="gramStart"/>
      <w:r w:rsidRPr="005C0F84">
        <w:rPr>
          <w:rFonts w:ascii="Times New Roman" w:hAnsi="Times New Roman" w:cs="Times New Roman"/>
        </w:rPr>
        <w:t>ter</w:t>
      </w:r>
      <w:proofErr w:type="gramEnd"/>
      <w:r w:rsidRPr="005C0F84">
        <w:rPr>
          <w:rFonts w:ascii="Times New Roman" w:hAnsi="Times New Roman" w:cs="Times New Roman"/>
        </w:rPr>
        <w:t xml:space="preserve"> sido alcançada, estas não impactaram nos indicadores, principalmente o registro de informações nos diversos s</w:t>
      </w:r>
      <w:r w:rsidRPr="005C0F84">
        <w:rPr>
          <w:rFonts w:ascii="Times New Roman" w:hAnsi="Times New Roman" w:cs="Times New Roman"/>
          <w:bCs/>
        </w:rPr>
        <w:t xml:space="preserve">istemas de </w:t>
      </w:r>
      <w:r w:rsidR="00231AAA">
        <w:rPr>
          <w:rFonts w:ascii="Times New Roman" w:hAnsi="Times New Roman" w:cs="Times New Roman"/>
          <w:bCs/>
        </w:rPr>
        <w:t>i</w:t>
      </w:r>
      <w:r w:rsidRPr="005C0F84">
        <w:rPr>
          <w:rFonts w:ascii="Times New Roman" w:hAnsi="Times New Roman" w:cs="Times New Roman"/>
          <w:bCs/>
        </w:rPr>
        <w:t xml:space="preserve">nformação de racionalidade epidemiológica; </w:t>
      </w:r>
    </w:p>
    <w:p w:rsidR="00FE16C6" w:rsidRPr="005C0F84" w:rsidRDefault="00FE16C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312F29">
        <w:rPr>
          <w:rFonts w:ascii="Times New Roman" w:hAnsi="Times New Roman" w:cs="Times New Roman"/>
        </w:rPr>
        <w:t>que m</w:t>
      </w:r>
      <w:r w:rsidRPr="005C0F84">
        <w:rPr>
          <w:rFonts w:ascii="Times New Roman" w:hAnsi="Times New Roman" w:cs="Times New Roman"/>
          <w:bCs/>
        </w:rPr>
        <w:t xml:space="preserve">esmo com a redução das taxas de mortalidade em algumas patologias ainda é alta a mortalidade prematura (de 30 a 69 anos) pelo conjunto das quatro principais doenças crônicas não transmissíveis, e das por câncer de traqueia, brônquios e pulmões, e doença aterosclerótica. </w:t>
      </w:r>
    </w:p>
    <w:p w:rsidR="00FE16C6" w:rsidRPr="005C0F84" w:rsidRDefault="00FE16C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="00294F5C" w:rsidRPr="005C0F84">
        <w:rPr>
          <w:rFonts w:ascii="Times New Roman" w:hAnsi="Times New Roman" w:cs="Times New Roman"/>
          <w:bCs/>
        </w:rPr>
        <w:t xml:space="preserve">a falta de investimento em saúde </w:t>
      </w:r>
      <w:r w:rsidR="00294F5C">
        <w:rPr>
          <w:rFonts w:ascii="Times New Roman" w:hAnsi="Times New Roman" w:cs="Times New Roman"/>
          <w:bCs/>
        </w:rPr>
        <w:t>voltada para minorias étnicas e sociais</w:t>
      </w:r>
      <w:r w:rsidRPr="005C0F84">
        <w:rPr>
          <w:rFonts w:ascii="Times New Roman" w:hAnsi="Times New Roman" w:cs="Times New Roman"/>
          <w:bCs/>
        </w:rPr>
        <w:t>, visto que das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treze Diretrizes, esta foi</w:t>
      </w:r>
      <w:r w:rsidR="00294F5C" w:rsidRPr="005C0F8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a única que não alcançou nenhum indicador ou </w:t>
      </w:r>
      <w:r w:rsidR="00294F5C" w:rsidRPr="005C0F84">
        <w:rPr>
          <w:rFonts w:ascii="Times New Roman" w:eastAsiaTheme="minorHAnsi" w:hAnsi="Times New Roman" w:cs="Times New Roman"/>
          <w:lang w:eastAsia="en-US"/>
        </w:rPr>
        <w:t>ação pactuada</w:t>
      </w:r>
      <w:r w:rsidRPr="005C0F84">
        <w:rPr>
          <w:rFonts w:ascii="Times New Roman" w:eastAsiaTheme="minorHAnsi" w:hAnsi="Times New Roman" w:cs="Times New Roman"/>
          <w:lang w:eastAsia="en-US"/>
        </w:rPr>
        <w:t>;</w:t>
      </w:r>
    </w:p>
    <w:p w:rsidR="00FE16C6" w:rsidRPr="005C0F84" w:rsidRDefault="00FE16C6" w:rsidP="005C0F84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6F2AD3">
        <w:rPr>
          <w:rFonts w:ascii="Times New Roman" w:hAnsi="Times New Roman" w:cs="Times New Roman"/>
        </w:rPr>
        <w:t>que ainda</w:t>
      </w:r>
      <w:r w:rsidRPr="005C0F84">
        <w:rPr>
          <w:rFonts w:ascii="Times New Roman" w:hAnsi="Times New Roman" w:cs="Times New Roman"/>
        </w:rPr>
        <w:t xml:space="preserve"> fica a desejar o alcance dos indicadores de Demandas Obrigatórias e de Abastecimento das Unidades Atendidas, os medicamentos para Programas Vinculados a Agravos Específicos, Agudos ou Crônicos Atendidos, e o nº de Usuários Atendidos no Componente Especializado da Assistência Farmacêutica, e os baixos investimentos financeiros;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="006F2AD3" w:rsidRPr="006F2AD3">
        <w:rPr>
          <w:rFonts w:ascii="Times New Roman" w:hAnsi="Times New Roman" w:cs="Times New Roman"/>
        </w:rPr>
        <w:t>a baixa participação</w:t>
      </w:r>
      <w:r w:rsidRPr="005C0F84">
        <w:rPr>
          <w:rFonts w:ascii="Times New Roman" w:hAnsi="Times New Roman" w:cs="Times New Roman"/>
        </w:rPr>
        <w:t xml:space="preserve"> dos Gestores nas reuniões das </w:t>
      </w:r>
      <w:r w:rsidR="006F2AD3" w:rsidRPr="005C0F84">
        <w:rPr>
          <w:rFonts w:ascii="Times New Roman" w:hAnsi="Times New Roman" w:cs="Times New Roman"/>
        </w:rPr>
        <w:t>CIR</w:t>
      </w:r>
      <w:r w:rsidR="006F2AD3">
        <w:rPr>
          <w:rFonts w:ascii="Times New Roman" w:hAnsi="Times New Roman" w:cs="Times New Roman"/>
        </w:rPr>
        <w:t>s</w:t>
      </w:r>
      <w:r w:rsidRPr="005C0F84">
        <w:rPr>
          <w:rFonts w:ascii="Times New Roman" w:hAnsi="Times New Roman" w:cs="Times New Roman"/>
        </w:rPr>
        <w:t>, espaço importante de pactuação entre estado e Municípios;</w:t>
      </w:r>
    </w:p>
    <w:p w:rsidR="00FE16C6" w:rsidRPr="005C0F84" w:rsidRDefault="00FE16C6" w:rsidP="005C0F84">
      <w:pPr>
        <w:pStyle w:val="Default"/>
        <w:spacing w:before="12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/>
        </w:rPr>
        <w:t xml:space="preserve">Considerando </w:t>
      </w:r>
      <w:r w:rsidRPr="006F2AD3">
        <w:rPr>
          <w:rFonts w:ascii="Times New Roman" w:hAnsi="Times New Roman" w:cs="Times New Roman"/>
        </w:rPr>
        <w:t>que</w:t>
      </w:r>
      <w:r w:rsidRPr="005C0F84">
        <w:rPr>
          <w:rFonts w:ascii="Times New Roman" w:hAnsi="Times New Roman" w:cs="Times New Roman"/>
          <w:b/>
        </w:rPr>
        <w:t xml:space="preserve"> </w:t>
      </w:r>
      <w:r w:rsidRPr="005C0F84">
        <w:rPr>
          <w:rFonts w:ascii="Times New Roman" w:hAnsi="Times New Roman" w:cs="Times New Roman"/>
        </w:rPr>
        <w:t>a p</w:t>
      </w:r>
      <w:r w:rsidRPr="005C0F84">
        <w:rPr>
          <w:rFonts w:ascii="Times New Roman" w:hAnsi="Times New Roman" w:cs="Times New Roman"/>
          <w:color w:val="000000" w:themeColor="text1"/>
        </w:rPr>
        <w:t xml:space="preserve">roporção de vacinas selecionadas do Calendário Nacional de Vacinação para crianças menores de dois anos de idade </w:t>
      </w:r>
      <w:r w:rsidR="00294F5C" w:rsidRPr="005C0F84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Pr="005C0F84">
        <w:rPr>
          <w:rFonts w:ascii="Times New Roman" w:hAnsi="Times New Roman" w:cs="Times New Roman"/>
          <w:color w:val="000000" w:themeColor="text1"/>
        </w:rPr>
        <w:t>Pentavalente</w:t>
      </w:r>
      <w:proofErr w:type="spellEnd"/>
      <w:r w:rsidRPr="005C0F84">
        <w:rPr>
          <w:rFonts w:ascii="Times New Roman" w:hAnsi="Times New Roman" w:cs="Times New Roman"/>
          <w:color w:val="000000" w:themeColor="text1"/>
        </w:rPr>
        <w:t xml:space="preserve"> 3ª dose, Pneumocócica 10-valente 2ª dose, Poliomielite 3ª dose e Tríplice viral 1ª dose) com cobertura vacinal preconizada, mesmo que tendo </w:t>
      </w:r>
      <w:r w:rsidRPr="005C0F84">
        <w:rPr>
          <w:rFonts w:ascii="Times New Roman" w:hAnsi="Times New Roman" w:cs="Times New Roman"/>
        </w:rPr>
        <w:t>apresentado uma pequena melhora que no ano anterior, saindo de 25% para 50% da meta pactuada,</w:t>
      </w:r>
      <w:r w:rsidR="00294F5C" w:rsidRPr="005C0F84">
        <w:rPr>
          <w:rFonts w:ascii="Times New Roman" w:hAnsi="Times New Roman" w:cs="Times New Roman"/>
        </w:rPr>
        <w:t xml:space="preserve"> </w:t>
      </w:r>
      <w:r w:rsidRPr="005C0F84">
        <w:rPr>
          <w:rFonts w:ascii="Times New Roman" w:hAnsi="Times New Roman" w:cs="Times New Roman"/>
        </w:rPr>
        <w:t>possibilita a volta de surtos de doenças contagiosas imunopreveníveis nos anos posteriores;</w:t>
      </w:r>
    </w:p>
    <w:p w:rsidR="00FE16C6" w:rsidRPr="005C0F84" w:rsidRDefault="00FE16C6" w:rsidP="005C0F8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C0F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a queda na participação da receita de impostos na receita total do Estado em relação a 2015</w:t>
      </w:r>
      <w:r w:rsidR="006F2AD3">
        <w:rPr>
          <w:rFonts w:ascii="Times New Roman" w:hAnsi="Times New Roman" w:cs="Times New Roman"/>
          <w:sz w:val="24"/>
          <w:szCs w:val="24"/>
        </w:rPr>
        <w:t>,</w:t>
      </w:r>
      <w:r w:rsidRPr="005C0F84">
        <w:rPr>
          <w:rFonts w:ascii="Times New Roman" w:hAnsi="Times New Roman" w:cs="Times New Roman"/>
          <w:sz w:val="24"/>
          <w:szCs w:val="24"/>
        </w:rPr>
        <w:t xml:space="preserve"> que apresentou um percentual de 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47,48</w:t>
      </w:r>
      <w:r w:rsidR="006F2AD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%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apesar de </w:t>
      </w:r>
      <w:r w:rsidRPr="005C0F84">
        <w:rPr>
          <w:rFonts w:ascii="Times New Roman" w:hAnsi="Times New Roman" w:cs="Times New Roman"/>
          <w:sz w:val="24"/>
          <w:szCs w:val="24"/>
        </w:rPr>
        <w:t>2018 (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39,96%) </w:t>
      </w:r>
      <w:r w:rsidRPr="005C0F84">
        <w:rPr>
          <w:rFonts w:ascii="Times New Roman" w:hAnsi="Times New Roman" w:cs="Times New Roman"/>
          <w:sz w:val="24"/>
          <w:szCs w:val="24"/>
        </w:rPr>
        <w:t>ter superado 2016 (30,64%) e 2017 (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32,84%); 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que uma das premissas do SUS é a equidade, </w:t>
      </w:r>
      <w:r w:rsidR="006F2AD3">
        <w:rPr>
          <w:rFonts w:ascii="Times New Roman" w:hAnsi="Times New Roman" w:cs="Times New Roman"/>
          <w:sz w:val="24"/>
          <w:szCs w:val="24"/>
        </w:rPr>
        <w:t xml:space="preserve">e </w:t>
      </w:r>
      <w:r w:rsidR="00231AAA">
        <w:rPr>
          <w:rFonts w:ascii="Times New Roman" w:hAnsi="Times New Roman" w:cs="Times New Roman"/>
          <w:sz w:val="24"/>
          <w:szCs w:val="24"/>
        </w:rPr>
        <w:t>E</w:t>
      </w:r>
      <w:r w:rsidRPr="005C0F84">
        <w:rPr>
          <w:rFonts w:ascii="Times New Roman" w:hAnsi="Times New Roman" w:cs="Times New Roman"/>
          <w:sz w:val="24"/>
          <w:szCs w:val="24"/>
        </w:rPr>
        <w:t>stados mais pobres como Alagoas</w:t>
      </w:r>
      <w:r w:rsidR="006F2AD3">
        <w:rPr>
          <w:rFonts w:ascii="Times New Roman" w:hAnsi="Times New Roman" w:cs="Times New Roman"/>
          <w:sz w:val="24"/>
          <w:szCs w:val="24"/>
        </w:rPr>
        <w:t>,</w:t>
      </w:r>
      <w:r w:rsidRPr="005C0F84">
        <w:rPr>
          <w:rFonts w:ascii="Times New Roman" w:hAnsi="Times New Roman" w:cs="Times New Roman"/>
          <w:sz w:val="24"/>
          <w:szCs w:val="24"/>
        </w:rPr>
        <w:t xml:space="preserve"> que tem em média 95% da população utilizando exclusivamente o SUS, </w:t>
      </w:r>
      <w:r w:rsidR="006F2AD3">
        <w:rPr>
          <w:rFonts w:ascii="Times New Roman" w:hAnsi="Times New Roman" w:cs="Times New Roman"/>
          <w:sz w:val="24"/>
          <w:szCs w:val="24"/>
        </w:rPr>
        <w:t>tem aumentado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consideravelmente o impacto financeiro e a dependência populacional para os investimentos da saúde pública</w:t>
      </w:r>
      <w:r w:rsidR="006F2AD3">
        <w:rPr>
          <w:rFonts w:ascii="Times New Roman" w:hAnsi="Times New Roman" w:cs="Times New Roman"/>
          <w:sz w:val="24"/>
          <w:szCs w:val="24"/>
        </w:rPr>
        <w:t xml:space="preserve">, sendo de fundamental </w:t>
      </w:r>
      <w:r w:rsidRPr="005C0F84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6F2AD3">
        <w:rPr>
          <w:rFonts w:ascii="Times New Roman" w:hAnsi="Times New Roman" w:cs="Times New Roman"/>
          <w:sz w:val="24"/>
          <w:szCs w:val="24"/>
        </w:rPr>
        <w:t xml:space="preserve">um maior </w:t>
      </w:r>
      <w:r w:rsidRPr="005C0F84">
        <w:rPr>
          <w:rFonts w:ascii="Times New Roman" w:hAnsi="Times New Roman" w:cs="Times New Roman"/>
          <w:sz w:val="24"/>
          <w:szCs w:val="24"/>
        </w:rPr>
        <w:t>percentual de recurso federal para fazer face aos desafios sociais da saúde;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Considerando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que a Despesa total com Saúde sob a responsabilidade do Estado por habitante</w:t>
      </w:r>
      <w:r w:rsidRPr="005C0F84">
        <w:rPr>
          <w:rFonts w:ascii="Times New Roman" w:hAnsi="Times New Roman" w:cs="Times New Roman"/>
          <w:sz w:val="24"/>
          <w:szCs w:val="24"/>
        </w:rPr>
        <w:t xml:space="preserve"> é um dos principais indicadores fornecidos pelo Sistema de Informações sobre Orçamento Público em Saúde (SIOPS), onde de forma mais direta e monetizada pode-se verificar qual o gasto </w:t>
      </w:r>
      <w:r w:rsidRPr="005C0F84">
        <w:rPr>
          <w:rFonts w:ascii="Times New Roman" w:hAnsi="Times New Roman" w:cs="Times New Roman"/>
          <w:i/>
          <w:iCs/>
          <w:sz w:val="24"/>
          <w:szCs w:val="24"/>
        </w:rPr>
        <w:t xml:space="preserve">per capita </w:t>
      </w:r>
      <w:r w:rsidRPr="005C0F84">
        <w:rPr>
          <w:rFonts w:ascii="Times New Roman" w:hAnsi="Times New Roman" w:cs="Times New Roman"/>
          <w:sz w:val="24"/>
          <w:szCs w:val="24"/>
        </w:rPr>
        <w:t xml:space="preserve">com saúde em nosso Estado, </w:t>
      </w:r>
      <w:r w:rsidR="00231AAA">
        <w:rPr>
          <w:rFonts w:ascii="Times New Roman" w:hAnsi="Times New Roman" w:cs="Times New Roman"/>
          <w:sz w:val="24"/>
          <w:szCs w:val="24"/>
        </w:rPr>
        <w:t>apresentou</w:t>
      </w:r>
      <w:r w:rsidRPr="005C0F84">
        <w:rPr>
          <w:rFonts w:ascii="Times New Roman" w:hAnsi="Times New Roman" w:cs="Times New Roman"/>
          <w:sz w:val="24"/>
          <w:szCs w:val="24"/>
        </w:rPr>
        <w:t xml:space="preserve"> um decréscimo no ano de</w:t>
      </w:r>
      <w:r w:rsidR="00294F5C" w:rsidRPr="005C0F84">
        <w:rPr>
          <w:rFonts w:ascii="Times New Roman" w:hAnsi="Times New Roman" w:cs="Times New Roman"/>
          <w:sz w:val="24"/>
          <w:szCs w:val="24"/>
        </w:rPr>
        <w:t xml:space="preserve"> </w:t>
      </w:r>
      <w:r w:rsidRPr="005C0F84">
        <w:rPr>
          <w:rFonts w:ascii="Times New Roman" w:hAnsi="Times New Roman" w:cs="Times New Roman"/>
          <w:sz w:val="24"/>
          <w:szCs w:val="24"/>
        </w:rPr>
        <w:t xml:space="preserve">2017 (R$ 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335,09</w:t>
      </w:r>
      <w:r w:rsidR="00294F5C"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C0F84">
        <w:rPr>
          <w:rFonts w:ascii="Times New Roman" w:hAnsi="Times New Roman" w:cs="Times New Roman"/>
          <w:sz w:val="24"/>
          <w:szCs w:val="24"/>
        </w:rPr>
        <w:t xml:space="preserve">com relação a 2016 (R$ 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337,82)</w:t>
      </w:r>
      <w:r w:rsidRPr="005C0F84">
        <w:rPr>
          <w:rFonts w:ascii="Times New Roman" w:hAnsi="Times New Roman" w:cs="Times New Roman"/>
          <w:sz w:val="24"/>
          <w:szCs w:val="24"/>
        </w:rPr>
        <w:t xml:space="preserve">, voltando a crescer em 2018 (R$ 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394,36);</w:t>
      </w:r>
    </w:p>
    <w:p w:rsid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Considerando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que o gasto com medicamentos é uma premissa básica para quem lida com saúde, quer seja na atenção básica, média ou alta complexidade, e </w:t>
      </w:r>
      <w:r w:rsidR="006F2AD3">
        <w:rPr>
          <w:rFonts w:ascii="Times New Roman" w:hAnsi="Times New Roman" w:cs="Times New Roman"/>
          <w:sz w:val="24"/>
          <w:szCs w:val="24"/>
        </w:rPr>
        <w:t>que</w:t>
      </w:r>
      <w:r w:rsidRPr="005C0F84">
        <w:rPr>
          <w:rFonts w:ascii="Times New Roman" w:hAnsi="Times New Roman" w:cs="Times New Roman"/>
          <w:sz w:val="24"/>
          <w:szCs w:val="24"/>
        </w:rPr>
        <w:t xml:space="preserve"> houve diminuição ao longo dos últimos quatro anos;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Considerando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que mesmo o Estado te</w:t>
      </w:r>
      <w:r w:rsidR="001F21E3">
        <w:rPr>
          <w:rFonts w:ascii="Times New Roman" w:hAnsi="Times New Roman" w:cs="Times New Roman"/>
          <w:sz w:val="24"/>
          <w:szCs w:val="24"/>
        </w:rPr>
        <w:t>ndo</w:t>
      </w:r>
      <w:r w:rsidRPr="005C0F84">
        <w:rPr>
          <w:rFonts w:ascii="Times New Roman" w:hAnsi="Times New Roman" w:cs="Times New Roman"/>
          <w:sz w:val="24"/>
          <w:szCs w:val="24"/>
        </w:rPr>
        <w:t xml:space="preserve"> atingido o percentual mínimo de 12%, aplicado com recursos próprios em ações e serviços de saúde nos termos da LC 141 de 2012, </w:t>
      </w:r>
      <w:r w:rsidR="001F21E3">
        <w:rPr>
          <w:rFonts w:ascii="Times New Roman" w:hAnsi="Times New Roman" w:cs="Times New Roman"/>
          <w:sz w:val="24"/>
          <w:szCs w:val="24"/>
        </w:rPr>
        <w:t>apresentou</w:t>
      </w:r>
      <w:r w:rsidR="006F2AD3">
        <w:rPr>
          <w:rFonts w:ascii="Times New Roman" w:hAnsi="Times New Roman" w:cs="Times New Roman"/>
          <w:sz w:val="24"/>
          <w:szCs w:val="24"/>
        </w:rPr>
        <w:t xml:space="preserve"> </w:t>
      </w:r>
      <w:r w:rsidRPr="005C0F84">
        <w:rPr>
          <w:rFonts w:ascii="Times New Roman" w:hAnsi="Times New Roman" w:cs="Times New Roman"/>
          <w:sz w:val="24"/>
          <w:szCs w:val="24"/>
        </w:rPr>
        <w:t>diminuição nos gastos com saúde nestes últimos anos, onde em 2018 aplicou 12,16%, tendo uma redução em relação a 2015 (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12,94%)</w:t>
      </w:r>
      <w:r w:rsidRPr="005C0F84">
        <w:rPr>
          <w:rFonts w:ascii="Times New Roman" w:hAnsi="Times New Roman" w:cs="Times New Roman"/>
          <w:sz w:val="24"/>
          <w:szCs w:val="24"/>
        </w:rPr>
        <w:t xml:space="preserve"> e 2017(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12,34%);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Considerando </w:t>
      </w:r>
      <w:r w:rsidRPr="006F2AD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que</w:t>
      </w:r>
      <w:r w:rsidRPr="005C0F8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C0F84">
        <w:rPr>
          <w:rFonts w:ascii="Times New Roman" w:hAnsi="Times New Roman" w:cs="Times New Roman"/>
          <w:sz w:val="24"/>
          <w:szCs w:val="24"/>
        </w:rPr>
        <w:t>a maioria dos recursos do Estado são</w:t>
      </w:r>
      <w:r w:rsidR="001F2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E3">
        <w:rPr>
          <w:rFonts w:ascii="Times New Roman" w:hAnsi="Times New Roman" w:cs="Times New Roman"/>
          <w:sz w:val="24"/>
          <w:szCs w:val="24"/>
        </w:rPr>
        <w:t>investido na</w:t>
      </w:r>
      <w:r w:rsidRPr="005C0F84">
        <w:rPr>
          <w:rFonts w:ascii="Times New Roman" w:hAnsi="Times New Roman" w:cs="Times New Roman"/>
          <w:sz w:val="24"/>
          <w:szCs w:val="24"/>
        </w:rPr>
        <w:t xml:space="preserve"> média e alta complexidade</w:t>
      </w:r>
      <w:proofErr w:type="gramEnd"/>
      <w:r w:rsidRPr="005C0F84">
        <w:rPr>
          <w:rFonts w:ascii="Times New Roman" w:hAnsi="Times New Roman" w:cs="Times New Roman"/>
          <w:sz w:val="24"/>
          <w:szCs w:val="24"/>
        </w:rPr>
        <w:t>, enquanto que os investimentos com a atenção primária, vigilância sanitária e vigilância epidemiológica, que são ações básicas, chegam a 2018 apenas próximas a 2%;</w:t>
      </w:r>
    </w:p>
    <w:p w:rsidR="00FE16C6" w:rsidRPr="005C0F84" w:rsidRDefault="00FE16C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Considerando </w:t>
      </w:r>
      <w:r w:rsidRPr="0088134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que </w:t>
      </w:r>
      <w:r w:rsidRPr="005C0F84">
        <w:rPr>
          <w:rFonts w:ascii="Times New Roman" w:hAnsi="Times New Roman" w:cs="Times New Roman"/>
          <w:sz w:val="24"/>
          <w:szCs w:val="24"/>
        </w:rPr>
        <w:t>a atenção básica é a porta de entrada do sistema e que se funcionasse como é preceituado, resolveria em média 80% dos problemas de saúde, e que sua execução é responsabilidade maior do gestor municipal;</w:t>
      </w:r>
    </w:p>
    <w:p w:rsidR="00487F57" w:rsidRPr="005C0F84" w:rsidRDefault="00487F57" w:rsidP="005C0F8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973" w:rsidRPr="005C0F84" w:rsidRDefault="00837973" w:rsidP="005C0F8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F84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2A7261" w:rsidRPr="003A5B5B" w:rsidRDefault="00427ECA" w:rsidP="005C0F8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B5B">
        <w:rPr>
          <w:rFonts w:ascii="Times New Roman" w:hAnsi="Times New Roman" w:cs="Times New Roman"/>
          <w:b/>
          <w:sz w:val="24"/>
          <w:szCs w:val="24"/>
        </w:rPr>
        <w:t xml:space="preserve">Acatar </w:t>
      </w:r>
      <w:r w:rsidR="009F101E" w:rsidRPr="003A5B5B">
        <w:rPr>
          <w:rFonts w:ascii="Times New Roman" w:hAnsi="Times New Roman" w:cs="Times New Roman"/>
          <w:b/>
          <w:sz w:val="24"/>
          <w:szCs w:val="24"/>
        </w:rPr>
        <w:t>o Parecer 00</w:t>
      </w:r>
      <w:r w:rsidR="00FE16C6" w:rsidRPr="003A5B5B">
        <w:rPr>
          <w:rFonts w:ascii="Times New Roman" w:hAnsi="Times New Roman" w:cs="Times New Roman"/>
          <w:b/>
          <w:sz w:val="24"/>
          <w:szCs w:val="24"/>
        </w:rPr>
        <w:t>3</w:t>
      </w:r>
      <w:r w:rsidR="009F101E" w:rsidRPr="003A5B5B">
        <w:rPr>
          <w:rFonts w:ascii="Times New Roman" w:hAnsi="Times New Roman" w:cs="Times New Roman"/>
          <w:b/>
          <w:sz w:val="24"/>
          <w:szCs w:val="24"/>
        </w:rPr>
        <w:t>/2020 da COP-CES</w:t>
      </w:r>
      <w:r w:rsidR="009825DE" w:rsidRPr="003A5B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105EE" w:rsidRPr="003A5B5B">
        <w:rPr>
          <w:rFonts w:ascii="Times New Roman" w:hAnsi="Times New Roman" w:cs="Times New Roman"/>
          <w:b/>
          <w:sz w:val="24"/>
          <w:szCs w:val="24"/>
        </w:rPr>
        <w:t>aprovando</w:t>
      </w:r>
      <w:r w:rsidRPr="003A5B5B">
        <w:rPr>
          <w:rFonts w:ascii="Times New Roman" w:hAnsi="Times New Roman" w:cs="Times New Roman"/>
          <w:b/>
          <w:sz w:val="24"/>
          <w:szCs w:val="24"/>
        </w:rPr>
        <w:t xml:space="preserve"> o Relatório Anual de Gestão 201</w:t>
      </w:r>
      <w:r w:rsidR="00FE16C6" w:rsidRPr="003A5B5B">
        <w:rPr>
          <w:rFonts w:ascii="Times New Roman" w:hAnsi="Times New Roman" w:cs="Times New Roman"/>
          <w:b/>
          <w:sz w:val="24"/>
          <w:szCs w:val="24"/>
        </w:rPr>
        <w:t>8</w:t>
      </w:r>
      <w:r w:rsidRPr="003A5B5B">
        <w:rPr>
          <w:rFonts w:ascii="Times New Roman" w:hAnsi="Times New Roman" w:cs="Times New Roman"/>
          <w:b/>
          <w:sz w:val="24"/>
          <w:szCs w:val="24"/>
        </w:rPr>
        <w:t xml:space="preserve"> da Secretaria de Estado da Saúde de Alagoas, </w:t>
      </w:r>
      <w:r w:rsidR="009F101E" w:rsidRPr="003A5B5B">
        <w:rPr>
          <w:rFonts w:ascii="Times New Roman" w:hAnsi="Times New Roman" w:cs="Times New Roman"/>
          <w:b/>
          <w:sz w:val="24"/>
          <w:szCs w:val="24"/>
        </w:rPr>
        <w:t xml:space="preserve">com as seguintes </w:t>
      </w:r>
      <w:r w:rsidR="007F47E3" w:rsidRPr="003A5B5B">
        <w:rPr>
          <w:rFonts w:ascii="Times New Roman" w:hAnsi="Times New Roman" w:cs="Times New Roman"/>
          <w:b/>
          <w:sz w:val="24"/>
          <w:szCs w:val="24"/>
        </w:rPr>
        <w:t>ressalvas</w:t>
      </w:r>
      <w:r w:rsidR="009F101E" w:rsidRPr="003A5B5B">
        <w:rPr>
          <w:rFonts w:ascii="Times New Roman" w:hAnsi="Times New Roman" w:cs="Times New Roman"/>
          <w:b/>
          <w:sz w:val="24"/>
          <w:szCs w:val="24"/>
        </w:rPr>
        <w:t>:</w:t>
      </w:r>
    </w:p>
    <w:p w:rsidR="00A52AF0" w:rsidRPr="00A52AF0" w:rsidRDefault="005C0F84" w:rsidP="00A52AF0">
      <w:pPr>
        <w:pStyle w:val="PargrafodaLista"/>
        <w:numPr>
          <w:ilvl w:val="0"/>
          <w:numId w:val="46"/>
        </w:numPr>
        <w:spacing w:before="12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2AF0">
        <w:rPr>
          <w:rFonts w:ascii="Times New Roman" w:hAnsi="Times New Roman" w:cs="Times New Roman"/>
          <w:color w:val="000000"/>
          <w:sz w:val="24"/>
          <w:szCs w:val="24"/>
        </w:rPr>
        <w:t>Cumpri</w:t>
      </w:r>
      <w:r w:rsidR="0088134D">
        <w:rPr>
          <w:rFonts w:ascii="Times New Roman" w:hAnsi="Times New Roman" w:cs="Times New Roman"/>
          <w:color w:val="000000"/>
          <w:sz w:val="24"/>
          <w:szCs w:val="24"/>
        </w:rPr>
        <w:t>r a</w:t>
      </w:r>
      <w:r w:rsidRPr="00A52AF0">
        <w:rPr>
          <w:rFonts w:ascii="Times New Roman" w:hAnsi="Times New Roman" w:cs="Times New Roman"/>
          <w:color w:val="000000"/>
          <w:sz w:val="24"/>
          <w:szCs w:val="24"/>
        </w:rPr>
        <w:t xml:space="preserve"> Lei</w:t>
      </w:r>
      <w:r w:rsidRPr="00A52AF0">
        <w:rPr>
          <w:rFonts w:ascii="Times New Roman" w:hAnsi="Times New Roman" w:cs="Times New Roman"/>
          <w:sz w:val="24"/>
          <w:szCs w:val="24"/>
        </w:rPr>
        <w:t xml:space="preserve"> nº 12.732, de 2012 </w:t>
      </w:r>
      <w:r w:rsidRPr="00A52AF0">
        <w:rPr>
          <w:rFonts w:ascii="Times New Roman" w:hAnsi="Times New Roman" w:cs="Times New Roman"/>
          <w:color w:val="000000"/>
          <w:sz w:val="24"/>
          <w:szCs w:val="24"/>
        </w:rPr>
        <w:t xml:space="preserve">e maior investimento por parte do Estado e dos municípios nas ações de promoção, prevenção e tratamento </w:t>
      </w:r>
      <w:r w:rsidRPr="00A52AF0">
        <w:rPr>
          <w:rFonts w:ascii="Times New Roman" w:hAnsi="Times New Roman" w:cs="Times New Roman"/>
          <w:sz w:val="24"/>
          <w:szCs w:val="24"/>
        </w:rPr>
        <w:t xml:space="preserve">de paciente com neoplasia maligna </w:t>
      </w:r>
      <w:r w:rsidRPr="00A52AF0">
        <w:rPr>
          <w:rFonts w:ascii="Times New Roman" w:hAnsi="Times New Roman" w:cs="Times New Roman"/>
          <w:color w:val="000000"/>
          <w:sz w:val="24"/>
          <w:szCs w:val="24"/>
        </w:rPr>
        <w:t>em tempo hábil</w:t>
      </w:r>
      <w:r w:rsidR="0088134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Start"/>
      <w:r w:rsidR="00881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AF0" w:rsidRPr="00A52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134D" w:rsidRPr="0088134D" w:rsidRDefault="005C0F84" w:rsidP="0088134D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hAnsi="Times New Roman" w:cs="Times New Roman"/>
        </w:rPr>
      </w:pPr>
      <w:proofErr w:type="gramEnd"/>
      <w:r w:rsidRPr="0088134D">
        <w:rPr>
          <w:rFonts w:ascii="Times New Roman" w:eastAsiaTheme="minorHAnsi" w:hAnsi="Times New Roman" w:cs="Times New Roman"/>
          <w:lang w:eastAsia="en-US"/>
        </w:rPr>
        <w:t>Maior investimento de recursos financeiros, bem como capacitação dos profissionais das equipes de saúde bucal, e ampliação na implantação de Centros de Especialidades Odontológicas- CEO nas regiões de saúde;</w:t>
      </w:r>
    </w:p>
    <w:p w:rsidR="0088134D" w:rsidRPr="0088134D" w:rsidRDefault="005C0F84" w:rsidP="0088134D">
      <w:pPr>
        <w:pStyle w:val="Default"/>
        <w:numPr>
          <w:ilvl w:val="0"/>
          <w:numId w:val="46"/>
        </w:numPr>
        <w:shd w:val="clear" w:color="auto" w:fill="FFFFFF"/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88134D">
        <w:rPr>
          <w:rFonts w:ascii="Times New Roman" w:hAnsi="Times New Roman" w:cs="Times New Roman"/>
          <w:color w:val="000000" w:themeColor="text1"/>
        </w:rPr>
        <w:t xml:space="preserve">Implantar a </w:t>
      </w:r>
      <w:r w:rsidRPr="0088134D">
        <w:rPr>
          <w:rFonts w:ascii="Times New Roman" w:hAnsi="Times New Roman" w:cs="Times New Roman"/>
        </w:rPr>
        <w:t>Linha do Cuidado de Atenção Integral à Saúde da Pessoa Idosa;</w:t>
      </w:r>
    </w:p>
    <w:p w:rsidR="005C0F84" w:rsidRPr="0088134D" w:rsidRDefault="005C0F84" w:rsidP="0088134D">
      <w:pPr>
        <w:pStyle w:val="Default"/>
        <w:numPr>
          <w:ilvl w:val="0"/>
          <w:numId w:val="46"/>
        </w:numPr>
        <w:shd w:val="clear" w:color="auto" w:fill="FFFFFF"/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88134D">
        <w:rPr>
          <w:rFonts w:ascii="Times New Roman" w:hAnsi="Times New Roman" w:cs="Times New Roman"/>
          <w:color w:val="000000" w:themeColor="text1"/>
        </w:rPr>
        <w:t>M</w:t>
      </w:r>
      <w:r w:rsidRPr="0088134D">
        <w:rPr>
          <w:rFonts w:ascii="Times New Roman" w:eastAsiaTheme="minorHAnsi" w:hAnsi="Times New Roman" w:cs="Times New Roman"/>
          <w:lang w:eastAsia="en-US"/>
        </w:rPr>
        <w:t xml:space="preserve">aior empenho da gestão </w:t>
      </w:r>
      <w:r w:rsidR="0088134D">
        <w:rPr>
          <w:rFonts w:ascii="Times New Roman" w:eastAsiaTheme="minorHAnsi" w:hAnsi="Times New Roman" w:cs="Times New Roman"/>
          <w:lang w:eastAsia="en-US"/>
        </w:rPr>
        <w:t>E</w:t>
      </w:r>
      <w:r w:rsidRPr="0088134D">
        <w:rPr>
          <w:rFonts w:ascii="Times New Roman" w:eastAsiaTheme="minorHAnsi" w:hAnsi="Times New Roman" w:cs="Times New Roman"/>
          <w:lang w:eastAsia="en-US"/>
        </w:rPr>
        <w:t xml:space="preserve">stadual e Municipal no desenvolvimento de ações que fortaleçam a </w:t>
      </w:r>
      <w:r w:rsidRPr="0088134D">
        <w:rPr>
          <w:rFonts w:ascii="Times New Roman" w:hAnsi="Times New Roman" w:cs="Times New Roman"/>
        </w:rPr>
        <w:t>Rede de Atenção Psicossocial – RAPS, implantando/implementando nos municípios o Projeto de Geração de Renda para Pessoas com Transtornos Mentais e com Necessidades Decorrentes do Uso de Crack, Álcool e Outras Drogas, e implementação do Fórum de Saúde Mental;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eastAsiaTheme="minorHAnsi" w:hAnsi="Times New Roman" w:cs="Times New Roman"/>
          <w:lang w:eastAsia="en-US"/>
        </w:rPr>
        <w:t xml:space="preserve">Intensificar as ações para fortalecer a Rede </w:t>
      </w:r>
      <w:r w:rsidRPr="005C0F84">
        <w:rPr>
          <w:rFonts w:ascii="Times New Roman" w:hAnsi="Times New Roman" w:cs="Times New Roman"/>
          <w:bCs/>
        </w:rPr>
        <w:t>de Atenção às Condições Crônicas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, principalmente àquelas voltadas para a melhoria do acesso das mulheres aos exames diagnósticos de Ca de mama e de útero; 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Cs/>
        </w:rPr>
        <w:t>Capacitar os profissionais</w:t>
      </w:r>
      <w:r w:rsidR="009825DE">
        <w:rPr>
          <w:rFonts w:ascii="Times New Roman" w:hAnsi="Times New Roman" w:cs="Times New Roman"/>
          <w:bCs/>
        </w:rPr>
        <w:t xml:space="preserve"> de saúde </w:t>
      </w:r>
      <w:r w:rsidRPr="005C0F84">
        <w:rPr>
          <w:rFonts w:ascii="Times New Roman" w:hAnsi="Times New Roman" w:cs="Times New Roman"/>
          <w:bCs/>
        </w:rPr>
        <w:t>para o desenvolvimento de ações de</w:t>
      </w:r>
      <w:r w:rsidRPr="005C0F84">
        <w:rPr>
          <w:rFonts w:ascii="Times New Roman" w:hAnsi="Times New Roman" w:cs="Times New Roman"/>
          <w:bCs/>
          <w:color w:val="000000" w:themeColor="text1"/>
        </w:rPr>
        <w:t xml:space="preserve"> promoção da</w:t>
      </w:r>
      <w:r w:rsidRPr="005C0F84">
        <w:rPr>
          <w:rFonts w:ascii="Times New Roman" w:hAnsi="Times New Roman" w:cs="Times New Roman"/>
          <w:bCs/>
        </w:rPr>
        <w:t xml:space="preserve"> atenção integral e humanizada as pessoas envolvidas em situação de violência sexual, e ampliar o </w:t>
      </w:r>
      <w:r w:rsidR="0088134D">
        <w:rPr>
          <w:rFonts w:ascii="Times New Roman" w:hAnsi="Times New Roman" w:cs="Times New Roman"/>
          <w:bCs/>
        </w:rPr>
        <w:t>atendimento</w:t>
      </w:r>
      <w:r w:rsidRPr="005C0F84">
        <w:rPr>
          <w:rFonts w:ascii="Times New Roman" w:hAnsi="Times New Roman" w:cs="Times New Roman"/>
          <w:bCs/>
        </w:rPr>
        <w:t xml:space="preserve"> ambulatorial;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Cs/>
        </w:rPr>
        <w:t>Maior investimento financeiro do Estado no fortalecimento das Redes de Atenção à Saúde, visto que o financiamento é tripartite;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hAnsi="Times New Roman" w:cs="Times New Roman"/>
        </w:rPr>
      </w:pPr>
      <w:r w:rsidRPr="005C0F84">
        <w:rPr>
          <w:rFonts w:ascii="Times New Roman" w:hAnsi="Times New Roman" w:cs="Times New Roman"/>
          <w:bCs/>
        </w:rPr>
        <w:t>R</w:t>
      </w:r>
      <w:r w:rsidRPr="005C0F84">
        <w:rPr>
          <w:rFonts w:ascii="Times New Roman" w:hAnsi="Times New Roman" w:cs="Times New Roman"/>
        </w:rPr>
        <w:t>eestruturar a Rede Materno-Infantil nos municípios;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</w:rPr>
        <w:t xml:space="preserve">Ampliar a </w:t>
      </w:r>
      <w:r w:rsidRPr="005C0F84">
        <w:rPr>
          <w:rFonts w:ascii="Times New Roman" w:hAnsi="Times New Roman" w:cs="Times New Roman"/>
          <w:bCs/>
        </w:rPr>
        <w:t>investigação dos óbitos fetais e maternos;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</w:rPr>
        <w:t xml:space="preserve">Qualificar 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a assistência </w:t>
      </w:r>
      <w:r w:rsidR="0088134D">
        <w:rPr>
          <w:rFonts w:ascii="Times New Roman" w:eastAsiaTheme="minorHAnsi" w:hAnsi="Times New Roman" w:cs="Times New Roman"/>
          <w:lang w:eastAsia="en-US"/>
        </w:rPr>
        <w:t xml:space="preserve">ao </w:t>
      </w:r>
      <w:proofErr w:type="gramStart"/>
      <w:r w:rsidRPr="005C0F84">
        <w:rPr>
          <w:rFonts w:ascii="Times New Roman" w:eastAsiaTheme="minorHAnsi" w:hAnsi="Times New Roman" w:cs="Times New Roman"/>
          <w:lang w:eastAsia="en-US"/>
        </w:rPr>
        <w:t xml:space="preserve">pré-natal </w:t>
      </w:r>
      <w:r w:rsidR="0088134D">
        <w:rPr>
          <w:rFonts w:ascii="Times New Roman" w:eastAsiaTheme="minorHAnsi" w:hAnsi="Times New Roman" w:cs="Times New Roman"/>
          <w:lang w:eastAsia="en-US"/>
        </w:rPr>
        <w:t>,</w:t>
      </w:r>
      <w:proofErr w:type="gramEnd"/>
      <w:r w:rsidR="0088134D">
        <w:rPr>
          <w:rFonts w:ascii="Times New Roman" w:eastAsiaTheme="minorHAnsi" w:hAnsi="Times New Roman" w:cs="Times New Roman"/>
          <w:lang w:eastAsia="en-US"/>
        </w:rPr>
        <w:t xml:space="preserve"> principalmente a realização do </w:t>
      </w:r>
      <w:r w:rsidRPr="005C0F84">
        <w:rPr>
          <w:rFonts w:ascii="Times New Roman" w:eastAsiaTheme="minorHAnsi" w:hAnsi="Times New Roman" w:cs="Times New Roman"/>
          <w:lang w:eastAsia="en-US"/>
        </w:rPr>
        <w:t>diagnóstico precoce e o tratamento adequado da sífilis</w:t>
      </w:r>
      <w:r w:rsidR="0088134D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5C0F84">
        <w:rPr>
          <w:rFonts w:ascii="Times New Roman" w:eastAsiaTheme="minorHAnsi" w:hAnsi="Times New Roman" w:cs="Times New Roman"/>
          <w:lang w:eastAsia="en-US"/>
        </w:rPr>
        <w:t>e estimular o uso de preservativo e tratamento de parcerias sexuais</w:t>
      </w:r>
      <w:r w:rsidR="009825DE">
        <w:rPr>
          <w:rFonts w:ascii="Times New Roman" w:eastAsiaTheme="minorHAnsi" w:hAnsi="Times New Roman" w:cs="Times New Roman"/>
          <w:lang w:eastAsia="en-US"/>
        </w:rPr>
        <w:t>;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hAnsi="Times New Roman" w:cs="Times New Roman"/>
        </w:rPr>
      </w:pPr>
      <w:r w:rsidRPr="005C0F84">
        <w:rPr>
          <w:rFonts w:ascii="Times New Roman" w:hAnsi="Times New Roman" w:cs="Times New Roman"/>
        </w:rPr>
        <w:t xml:space="preserve">Implantar a </w:t>
      </w:r>
      <w:r w:rsidR="007A546C">
        <w:rPr>
          <w:rFonts w:ascii="Times New Roman" w:hAnsi="Times New Roman" w:cs="Times New Roman"/>
        </w:rPr>
        <w:t>a</w:t>
      </w:r>
      <w:r w:rsidRPr="005C0F84">
        <w:rPr>
          <w:rFonts w:ascii="Times New Roman" w:hAnsi="Times New Roman" w:cs="Times New Roman"/>
        </w:rPr>
        <w:t>ssistência de Pré-Natal de Alto Risco nas regiões de saúde, bem como equipar as Casas de Parto e Centros de Parto Normal, para que seja ampliado o numero de partos normais em Alagoas, que não alcança a meta pactuada ao longo dos anos</w:t>
      </w:r>
      <w:r w:rsidR="009825DE">
        <w:rPr>
          <w:rFonts w:ascii="Times New Roman" w:hAnsi="Times New Roman" w:cs="Times New Roman"/>
        </w:rPr>
        <w:t>;</w:t>
      </w:r>
      <w:r w:rsidRPr="005C0F84">
        <w:rPr>
          <w:rFonts w:ascii="Times New Roman" w:hAnsi="Times New Roman" w:cs="Times New Roman"/>
        </w:rPr>
        <w:t xml:space="preserve"> </w:t>
      </w:r>
    </w:p>
    <w:p w:rsidR="005C0F84" w:rsidRPr="005C0F84" w:rsidRDefault="009825DE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Sensibilizar </w:t>
      </w:r>
      <w:r w:rsidR="005C0F84" w:rsidRPr="005C0F84">
        <w:rPr>
          <w:rFonts w:ascii="Times New Roman" w:hAnsi="Times New Roman" w:cs="Times New Roman"/>
          <w:bCs/>
        </w:rPr>
        <w:t xml:space="preserve">os municípios </w:t>
      </w:r>
      <w:r>
        <w:rPr>
          <w:rFonts w:ascii="Times New Roman" w:hAnsi="Times New Roman" w:cs="Times New Roman"/>
          <w:bCs/>
        </w:rPr>
        <w:t xml:space="preserve">sobre a necessidade de </w:t>
      </w:r>
      <w:r w:rsidR="005C0F84" w:rsidRPr="005C0F84">
        <w:rPr>
          <w:rFonts w:ascii="Times New Roman" w:hAnsi="Times New Roman" w:cs="Times New Roman"/>
          <w:bCs/>
        </w:rPr>
        <w:t>realiz</w:t>
      </w:r>
      <w:r>
        <w:rPr>
          <w:rFonts w:ascii="Times New Roman" w:hAnsi="Times New Roman" w:cs="Times New Roman"/>
          <w:bCs/>
        </w:rPr>
        <w:t>ar</w:t>
      </w:r>
      <w:r w:rsidR="005C0F84" w:rsidRPr="005C0F84">
        <w:rPr>
          <w:rFonts w:ascii="Times New Roman" w:hAnsi="Times New Roman" w:cs="Times New Roman"/>
          <w:bCs/>
        </w:rPr>
        <w:t xml:space="preserve">em ações </w:t>
      </w:r>
      <w:proofErr w:type="spellStart"/>
      <w:r w:rsidR="005C0F84" w:rsidRPr="005C0F84">
        <w:rPr>
          <w:rFonts w:ascii="Times New Roman" w:hAnsi="Times New Roman" w:cs="Times New Roman"/>
          <w:bCs/>
        </w:rPr>
        <w:t>intersetoriais</w:t>
      </w:r>
      <w:proofErr w:type="spellEnd"/>
      <w:r w:rsidR="005C0F84" w:rsidRPr="005C0F84">
        <w:rPr>
          <w:rFonts w:ascii="Times New Roman" w:hAnsi="Times New Roman" w:cs="Times New Roman"/>
          <w:bCs/>
        </w:rPr>
        <w:t xml:space="preserve"> para redução da gravidez na adolescência entre as faixas etárias 10 a 19 anos, principalmente pelas Equipes da Estratégia de Saúde da Família junto aos escolares;</w:t>
      </w:r>
    </w:p>
    <w:p w:rsidR="005C0F84" w:rsidRPr="005C0F84" w:rsidRDefault="009825DE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Sensibilizar </w:t>
      </w:r>
      <w:r w:rsidRPr="005C0F84">
        <w:rPr>
          <w:rFonts w:ascii="Times New Roman" w:hAnsi="Times New Roman" w:cs="Times New Roman"/>
          <w:bCs/>
        </w:rPr>
        <w:t xml:space="preserve">os municípios </w:t>
      </w:r>
      <w:r>
        <w:rPr>
          <w:rFonts w:ascii="Times New Roman" w:hAnsi="Times New Roman" w:cs="Times New Roman"/>
          <w:bCs/>
        </w:rPr>
        <w:t xml:space="preserve">sobre a necessidade de </w:t>
      </w:r>
      <w:r w:rsidRPr="005C0F84">
        <w:rPr>
          <w:rFonts w:ascii="Times New Roman" w:hAnsi="Times New Roman" w:cs="Times New Roman"/>
          <w:bCs/>
        </w:rPr>
        <w:t>realiz</w:t>
      </w:r>
      <w:r>
        <w:rPr>
          <w:rFonts w:ascii="Times New Roman" w:hAnsi="Times New Roman" w:cs="Times New Roman"/>
          <w:bCs/>
        </w:rPr>
        <w:t>arem</w:t>
      </w:r>
      <w:r w:rsidR="005C0F84" w:rsidRPr="005C0F84">
        <w:rPr>
          <w:rFonts w:ascii="Times New Roman" w:hAnsi="Times New Roman" w:cs="Times New Roman"/>
        </w:rPr>
        <w:t xml:space="preserve">, </w:t>
      </w:r>
      <w:r w:rsidR="005C0F84" w:rsidRPr="005C0F84">
        <w:rPr>
          <w:rFonts w:ascii="Times New Roman" w:hAnsi="Times New Roman" w:cs="Times New Roman"/>
          <w:bCs/>
        </w:rPr>
        <w:t>no mínimo, seis grupos de ações de vigilância sanitária</w:t>
      </w:r>
      <w:r>
        <w:rPr>
          <w:rFonts w:ascii="Times New Roman" w:hAnsi="Times New Roman" w:cs="Times New Roman"/>
          <w:bCs/>
        </w:rPr>
        <w:t>;</w:t>
      </w:r>
    </w:p>
    <w:p w:rsidR="005C0F84" w:rsidRPr="005C0F84" w:rsidRDefault="008B05BF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Envidar esforços em ações que proporcionem a redução </w:t>
      </w:r>
      <w:r w:rsidR="005C0F84" w:rsidRPr="005C0F84">
        <w:rPr>
          <w:rFonts w:ascii="Times New Roman" w:hAnsi="Times New Roman" w:cs="Times New Roman"/>
          <w:bCs/>
        </w:rPr>
        <w:t xml:space="preserve">da mortalidade prematura (de 30 a 69 anos) pelo conjunto das quatro principais doenças crônicas não </w:t>
      </w:r>
      <w:r w:rsidR="00294F5C" w:rsidRPr="005C0F84">
        <w:rPr>
          <w:rFonts w:ascii="Times New Roman" w:hAnsi="Times New Roman" w:cs="Times New Roman"/>
          <w:bCs/>
        </w:rPr>
        <w:t>transmissíveis;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</w:rPr>
        <w:t>Maior integração da Vigilância em Saúde e Atenção Primária dos Municípios, para a realização</w:t>
      </w:r>
      <w:r w:rsidR="000F589E">
        <w:rPr>
          <w:rFonts w:ascii="Times New Roman" w:hAnsi="Times New Roman" w:cs="Times New Roman"/>
        </w:rPr>
        <w:t xml:space="preserve"> eficaz </w:t>
      </w:r>
      <w:r w:rsidRPr="005C0F84">
        <w:rPr>
          <w:rFonts w:ascii="Times New Roman" w:hAnsi="Times New Roman" w:cs="Times New Roman"/>
        </w:rPr>
        <w:t xml:space="preserve">de busca ativa e ações de prevenção e promoção </w:t>
      </w:r>
      <w:r w:rsidRPr="005C0F84">
        <w:rPr>
          <w:rFonts w:ascii="Times New Roman" w:eastAsiaTheme="minorHAnsi" w:hAnsi="Times New Roman" w:cs="Times New Roman"/>
          <w:lang w:eastAsia="en-US"/>
        </w:rPr>
        <w:t>no combate à hanseníase e tuberculose;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</w:rPr>
        <w:t xml:space="preserve">Reversão de Indicadores Inaceitáveis de Doenças, Agravos e Fatores de Risco e melhora na estrutura da Vigilância em Saúde Municipal, com cumprimento das ações que proporcionem maior integração da Vigilância com a Atenção Primária dos Municípios. 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  <w:bCs/>
        </w:rPr>
        <w:t>Empenho das endemias municipais na realização dos</w:t>
      </w:r>
      <w:r w:rsidRPr="005C0F84">
        <w:rPr>
          <w:rFonts w:ascii="Times New Roman" w:hAnsi="Times New Roman" w:cs="Times New Roman"/>
        </w:rPr>
        <w:t xml:space="preserve"> ciclos de visitas domiciliares </w:t>
      </w:r>
      <w:r w:rsidRPr="005C0F84">
        <w:rPr>
          <w:rFonts w:ascii="Times New Roman" w:hAnsi="Times New Roman" w:cs="Times New Roman"/>
          <w:bCs/>
        </w:rPr>
        <w:t>para controle vetorial da dengue.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5C0F84">
        <w:rPr>
          <w:rFonts w:ascii="Times New Roman" w:hAnsi="Times New Roman" w:cs="Times New Roman"/>
          <w:bCs/>
        </w:rPr>
        <w:t>Aumentar o número de laboratórios cadastrados para análise de amostras para controle de qualidade de procedimentos laboratoriais de relevância para a vigilância em saúde;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5C0F84">
        <w:rPr>
          <w:rFonts w:ascii="Times New Roman" w:eastAsiaTheme="minorHAnsi" w:hAnsi="Times New Roman" w:cs="Times New Roman"/>
          <w:lang w:eastAsia="en-US"/>
        </w:rPr>
        <w:t>Maior empenho da gestão na implantação de políticas voltadas</w:t>
      </w:r>
      <w:r w:rsidR="000F589E">
        <w:rPr>
          <w:rFonts w:ascii="Times New Roman" w:eastAsiaTheme="minorHAnsi" w:hAnsi="Times New Roman" w:cs="Times New Roman"/>
          <w:lang w:eastAsia="en-US"/>
        </w:rPr>
        <w:t xml:space="preserve"> às</w:t>
      </w:r>
      <w:proofErr w:type="gramStart"/>
      <w:r w:rsidR="000F589E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0F8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End"/>
      <w:r w:rsidRPr="005C0F84">
        <w:rPr>
          <w:rFonts w:ascii="Times New Roman" w:hAnsi="Times New Roman" w:cs="Times New Roman"/>
          <w:bCs/>
        </w:rPr>
        <w:t>minorias étnicas e sociais</w:t>
      </w:r>
      <w:r w:rsidRPr="005C0F84">
        <w:rPr>
          <w:rFonts w:ascii="Times New Roman" w:hAnsi="Times New Roman" w:cs="Times New Roman"/>
        </w:rPr>
        <w:t xml:space="preserve"> que </w:t>
      </w:r>
      <w:r w:rsidR="00294F5C" w:rsidRPr="005C0F84">
        <w:rPr>
          <w:rFonts w:ascii="Times New Roman" w:hAnsi="Times New Roman" w:cs="Times New Roman"/>
        </w:rPr>
        <w:t>se encontram</w:t>
      </w:r>
      <w:r w:rsidRPr="005C0F84">
        <w:rPr>
          <w:rFonts w:ascii="Times New Roman" w:hAnsi="Times New Roman" w:cs="Times New Roman"/>
        </w:rPr>
        <w:t xml:space="preserve"> em situação de maior vulnerabilidade social;</w:t>
      </w:r>
    </w:p>
    <w:p w:rsidR="000F589E" w:rsidRPr="000F589E" w:rsidRDefault="005C0F84" w:rsidP="000F589E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0F589E">
        <w:rPr>
          <w:rFonts w:ascii="Times New Roman" w:hAnsi="Times New Roman" w:cs="Times New Roman"/>
        </w:rPr>
        <w:t>Maior desenvolvimento nas ações que proporcionem a realização de Transplantes de Múltiplos Órgãos no Estado de Alagoas;</w:t>
      </w:r>
    </w:p>
    <w:p w:rsidR="005C0F84" w:rsidRPr="000F589E" w:rsidRDefault="005C0F84" w:rsidP="000F589E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0F589E">
        <w:rPr>
          <w:rFonts w:ascii="Times New Roman" w:hAnsi="Times New Roman" w:cs="Times New Roman"/>
        </w:rPr>
        <w:t>Ampliação da manutenção e abastecimento das Unidades Assistenciais de Média e Alta Complexidade sob Gestão Estadual;</w:t>
      </w:r>
      <w:r w:rsidRPr="000F589E">
        <w:rPr>
          <w:rFonts w:ascii="Times New Roman" w:hAnsi="Times New Roman" w:cs="Times New Roman"/>
          <w:bCs/>
        </w:rPr>
        <w:t xml:space="preserve"> </w:t>
      </w:r>
    </w:p>
    <w:p w:rsidR="000F589E" w:rsidRDefault="005C0F84" w:rsidP="000F589E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0F589E">
        <w:rPr>
          <w:rFonts w:ascii="Times New Roman" w:hAnsi="Times New Roman" w:cs="Times New Roman"/>
        </w:rPr>
        <w:t>Implantação pela gestão estadual do Sistema de Gestão de Informação em Saúde nas Unidades Assistenciais de Urgência e Emergência de Acordo com Seu Perfil Assistencial;</w:t>
      </w:r>
    </w:p>
    <w:p w:rsidR="005C0F84" w:rsidRPr="000F589E" w:rsidRDefault="005C0F84" w:rsidP="000F589E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0F589E">
        <w:rPr>
          <w:rFonts w:ascii="Times New Roman" w:hAnsi="Times New Roman" w:cs="Times New Roman"/>
        </w:rPr>
        <w:t>Maior empenho na implantação e estruturação do Complexo Regulador Estadual,</w:t>
      </w:r>
      <w:r w:rsidR="00294F5C" w:rsidRPr="000F589E">
        <w:rPr>
          <w:rFonts w:ascii="Times New Roman" w:hAnsi="Times New Roman" w:cs="Times New Roman"/>
        </w:rPr>
        <w:t xml:space="preserve"> </w:t>
      </w:r>
      <w:r w:rsidRPr="000F589E">
        <w:rPr>
          <w:rFonts w:ascii="Times New Roman" w:hAnsi="Times New Roman" w:cs="Times New Roman"/>
        </w:rPr>
        <w:t>organização dos Serviços das Redes de Atenção à Saúde nas Regiões de Saúde e apoio na Implantação do Sistema Municipal de Auditoria do SUS nas Regiões de Saúde;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tabs>
          <w:tab w:val="center" w:pos="7568"/>
        </w:tabs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</w:rPr>
        <w:t xml:space="preserve">Que a </w:t>
      </w:r>
      <w:proofErr w:type="spellStart"/>
      <w:r w:rsidRPr="005C0F84">
        <w:rPr>
          <w:rFonts w:ascii="Times New Roman" w:hAnsi="Times New Roman" w:cs="Times New Roman"/>
        </w:rPr>
        <w:t>Sesau</w:t>
      </w:r>
      <w:proofErr w:type="spellEnd"/>
      <w:r w:rsidRPr="005C0F84">
        <w:rPr>
          <w:rFonts w:ascii="Times New Roman" w:hAnsi="Times New Roman" w:cs="Times New Roman"/>
        </w:rPr>
        <w:t xml:space="preserve"> consolide o Planejamento Regional Integrado nas Regiões de Saúde;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hAnsi="Times New Roman" w:cs="Times New Roman"/>
        </w:rPr>
        <w:t>M</w:t>
      </w:r>
      <w:r w:rsidRPr="005C0F84">
        <w:rPr>
          <w:rFonts w:ascii="Times New Roman" w:eastAsiaTheme="minorHAnsi" w:hAnsi="Times New Roman" w:cs="Times New Roman"/>
          <w:lang w:eastAsia="en-US"/>
        </w:rPr>
        <w:t>aior empenho dos secretários municipais de saúde no atendimento às demandas da Ouvidoria</w:t>
      </w:r>
      <w:r w:rsidR="00294F5C" w:rsidRPr="005C0F8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5C0F84">
        <w:rPr>
          <w:rFonts w:ascii="Times New Roman" w:eastAsiaTheme="minorHAnsi" w:hAnsi="Times New Roman" w:cs="Times New Roman"/>
          <w:lang w:eastAsia="en-US"/>
        </w:rPr>
        <w:t>Estadual e Ouvidor SUS (Sistema de Ouvidoria do Ministério da Saúde);</w:t>
      </w:r>
    </w:p>
    <w:p w:rsidR="005C0F84" w:rsidRPr="005C0F84" w:rsidRDefault="005C0F84" w:rsidP="005C0F84">
      <w:pPr>
        <w:pStyle w:val="Default"/>
        <w:numPr>
          <w:ilvl w:val="0"/>
          <w:numId w:val="46"/>
        </w:numPr>
        <w:spacing w:before="120"/>
        <w:jc w:val="both"/>
        <w:rPr>
          <w:rFonts w:ascii="Times New Roman" w:hAnsi="Times New Roman" w:cs="Times New Roman"/>
        </w:rPr>
      </w:pPr>
      <w:r w:rsidRPr="005C0F84">
        <w:rPr>
          <w:rFonts w:ascii="Times New Roman" w:hAnsi="Times New Roman" w:cs="Times New Roman"/>
        </w:rPr>
        <w:t xml:space="preserve">Maior empenho da Sesau e Cosems na sensibilização dos gestores sobre a importância da </w:t>
      </w:r>
      <w:r w:rsidR="000F589E">
        <w:rPr>
          <w:rFonts w:ascii="Times New Roman" w:hAnsi="Times New Roman" w:cs="Times New Roman"/>
        </w:rPr>
        <w:t xml:space="preserve">de suas participações nas reuniões das Comissões </w:t>
      </w:r>
      <w:proofErr w:type="spellStart"/>
      <w:r w:rsidR="000F589E">
        <w:rPr>
          <w:rFonts w:ascii="Times New Roman" w:hAnsi="Times New Roman" w:cs="Times New Roman"/>
        </w:rPr>
        <w:t>Intergestores</w:t>
      </w:r>
      <w:proofErr w:type="spellEnd"/>
      <w:r w:rsidR="000F589E">
        <w:rPr>
          <w:rFonts w:ascii="Times New Roman" w:hAnsi="Times New Roman" w:cs="Times New Roman"/>
        </w:rPr>
        <w:t xml:space="preserve"> Regionais-</w:t>
      </w:r>
      <w:proofErr w:type="spellStart"/>
      <w:r w:rsidRPr="005C0F84">
        <w:rPr>
          <w:rFonts w:ascii="Times New Roman" w:hAnsi="Times New Roman" w:cs="Times New Roman"/>
        </w:rPr>
        <w:t>CI</w:t>
      </w:r>
      <w:r w:rsidR="000F589E">
        <w:rPr>
          <w:rFonts w:ascii="Times New Roman" w:hAnsi="Times New Roman" w:cs="Times New Roman"/>
        </w:rPr>
        <w:t>Rs</w:t>
      </w:r>
      <w:proofErr w:type="spellEnd"/>
      <w:r w:rsidRPr="005C0F84">
        <w:rPr>
          <w:rFonts w:ascii="Times New Roman" w:hAnsi="Times New Roman" w:cs="Times New Roman"/>
        </w:rPr>
        <w:t xml:space="preserve">, enquanto espaço de </w:t>
      </w:r>
      <w:proofErr w:type="spellStart"/>
      <w:r w:rsidRPr="005C0F84">
        <w:rPr>
          <w:rFonts w:ascii="Times New Roman" w:hAnsi="Times New Roman" w:cs="Times New Roman"/>
        </w:rPr>
        <w:t>pactuação</w:t>
      </w:r>
      <w:proofErr w:type="spellEnd"/>
      <w:r w:rsidRPr="005C0F84">
        <w:rPr>
          <w:rFonts w:ascii="Times New Roman" w:hAnsi="Times New Roman" w:cs="Times New Roman"/>
        </w:rPr>
        <w:t xml:space="preserve"> regional</w:t>
      </w:r>
      <w:r w:rsidR="0009641C">
        <w:rPr>
          <w:rFonts w:ascii="Times New Roman" w:hAnsi="Times New Roman" w:cs="Times New Roman"/>
        </w:rPr>
        <w:t xml:space="preserve"> da Política de Saúde</w:t>
      </w:r>
      <w:r w:rsidRPr="005C0F84">
        <w:rPr>
          <w:rFonts w:ascii="Times New Roman" w:hAnsi="Times New Roman" w:cs="Times New Roman"/>
        </w:rPr>
        <w:t>;</w:t>
      </w:r>
    </w:p>
    <w:p w:rsidR="0009641C" w:rsidRDefault="005C0F84" w:rsidP="0009641C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09641C">
        <w:rPr>
          <w:rFonts w:ascii="Times New Roman" w:hAnsi="Times New Roman" w:cs="Times New Roman"/>
        </w:rPr>
        <w:t>Implantar/</w:t>
      </w:r>
      <w:proofErr w:type="gramStart"/>
      <w:r w:rsidRPr="0009641C">
        <w:rPr>
          <w:rFonts w:ascii="Times New Roman" w:hAnsi="Times New Roman" w:cs="Times New Roman"/>
        </w:rPr>
        <w:t>implementar</w:t>
      </w:r>
      <w:proofErr w:type="gramEnd"/>
      <w:r w:rsidRPr="0009641C">
        <w:rPr>
          <w:rFonts w:ascii="Times New Roman" w:hAnsi="Times New Roman" w:cs="Times New Roman"/>
        </w:rPr>
        <w:t xml:space="preserve"> o Plano de Educação Permanente para o Controle Social do SUS no CES/AL e nos Conselhos Municipais das 10 Regiões de Saúde;</w:t>
      </w:r>
    </w:p>
    <w:p w:rsidR="005C0F84" w:rsidRPr="0009641C" w:rsidRDefault="005C0F84" w:rsidP="0009641C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09641C">
        <w:rPr>
          <w:rFonts w:ascii="Times New Roman" w:hAnsi="Times New Roman" w:cs="Times New Roman"/>
        </w:rPr>
        <w:t xml:space="preserve">Maior empenho da </w:t>
      </w:r>
      <w:proofErr w:type="spellStart"/>
      <w:r w:rsidRPr="0009641C">
        <w:rPr>
          <w:rFonts w:ascii="Times New Roman" w:hAnsi="Times New Roman" w:cs="Times New Roman"/>
        </w:rPr>
        <w:t>Sesau</w:t>
      </w:r>
      <w:proofErr w:type="spellEnd"/>
      <w:r w:rsidRPr="0009641C">
        <w:rPr>
          <w:rFonts w:ascii="Times New Roman" w:hAnsi="Times New Roman" w:cs="Times New Roman"/>
        </w:rPr>
        <w:t xml:space="preserve"> para qualificar e modernizar as ações da gestão, principalmente implantar Padrões Qualitativos e Quantitativos dos Equipamentos Médicos e de Apoio Administrativo para a Saúde e para os Serviços Terceirizados de Apoio, e modelo de Gestão da Qualidade e Fluxos de Processos para Gestão Administrativa no Âmbito da Sesau;</w:t>
      </w:r>
    </w:p>
    <w:p w:rsidR="005C0F84" w:rsidRPr="005C0F84" w:rsidRDefault="0009641C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Reestruturar </w:t>
      </w:r>
      <w:r w:rsidR="005C0F84" w:rsidRPr="005C0F84">
        <w:rPr>
          <w:rFonts w:ascii="Times New Roman" w:hAnsi="Times New Roman" w:cs="Times New Roman"/>
        </w:rPr>
        <w:t xml:space="preserve">o Programa de Avaliação de Tecnologias em Saúde (ATS) e </w:t>
      </w:r>
      <w:r>
        <w:rPr>
          <w:rFonts w:ascii="Times New Roman" w:hAnsi="Times New Roman" w:cs="Times New Roman"/>
        </w:rPr>
        <w:t>m</w:t>
      </w:r>
      <w:r w:rsidR="005C0F84" w:rsidRPr="005C0F84">
        <w:rPr>
          <w:rFonts w:ascii="Times New Roman" w:hAnsi="Times New Roman" w:cs="Times New Roman"/>
        </w:rPr>
        <w:t>onitorar os Projetos Inovadores no Campo da Gestão e da Atenção a Saúde no âmbito do SUS, por meio de incubadoras das Instituições de Ensino Superior de Alagoas</w:t>
      </w:r>
      <w:r>
        <w:rPr>
          <w:rFonts w:ascii="Times New Roman" w:hAnsi="Times New Roman" w:cs="Times New Roman"/>
        </w:rPr>
        <w:t>;</w:t>
      </w:r>
      <w:r w:rsidR="005C0F84" w:rsidRPr="005C0F84">
        <w:rPr>
          <w:rFonts w:ascii="Times New Roman" w:hAnsi="Times New Roman" w:cs="Times New Roman"/>
        </w:rPr>
        <w:t xml:space="preserve"> 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eastAsiaTheme="minorHAnsi" w:hAnsi="Times New Roman" w:cs="Times New Roman"/>
          <w:lang w:eastAsia="en-US"/>
        </w:rPr>
        <w:t xml:space="preserve">Maior empenho e sensibilização das gestões municipais na importância da capacitação permanente, principalmente através dos UNASUS e </w:t>
      </w:r>
      <w:r w:rsidRPr="005C0F84">
        <w:rPr>
          <w:rFonts w:ascii="Times New Roman" w:hAnsi="Times New Roman" w:cs="Times New Roman"/>
        </w:rPr>
        <w:t xml:space="preserve">Núcleos de Telessaúde, bem como das </w:t>
      </w:r>
      <w:r w:rsidRPr="005C0F84">
        <w:rPr>
          <w:rFonts w:ascii="Times New Roman" w:hAnsi="Times New Roman" w:cs="Times New Roman"/>
        </w:rPr>
        <w:lastRenderedPageBreak/>
        <w:t xml:space="preserve">Equipes de Estratégias de Saúde da Família da 9º e da 10º regiões de saúde na Plataforma Nacional do </w:t>
      </w:r>
      <w:proofErr w:type="spellStart"/>
      <w:r w:rsidRPr="005C0F84">
        <w:rPr>
          <w:rFonts w:ascii="Times New Roman" w:hAnsi="Times New Roman" w:cs="Times New Roman"/>
        </w:rPr>
        <w:t>Telessaúde</w:t>
      </w:r>
      <w:proofErr w:type="spellEnd"/>
      <w:r w:rsidR="0009641C">
        <w:rPr>
          <w:rFonts w:ascii="Times New Roman" w:hAnsi="Times New Roman" w:cs="Times New Roman"/>
        </w:rPr>
        <w:t>;</w:t>
      </w:r>
      <w:r w:rsidRPr="005C0F84">
        <w:rPr>
          <w:rFonts w:ascii="Times New Roman" w:hAnsi="Times New Roman" w:cs="Times New Roman"/>
        </w:rPr>
        <w:t xml:space="preserve"> 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eastAsiaTheme="minorHAnsi" w:hAnsi="Times New Roman" w:cs="Times New Roman"/>
          <w:lang w:eastAsia="en-US"/>
        </w:rPr>
      </w:pPr>
      <w:r w:rsidRPr="005C0F84">
        <w:rPr>
          <w:rFonts w:ascii="Times New Roman" w:eastAsiaTheme="minorHAnsi" w:hAnsi="Times New Roman" w:cs="Times New Roman"/>
          <w:lang w:eastAsia="en-US"/>
        </w:rPr>
        <w:t>Maior integração entre os entes federados para a resolução dos problemas de saúde da população alagoana;</w:t>
      </w:r>
    </w:p>
    <w:p w:rsidR="005C0F84" w:rsidRPr="005C0F84" w:rsidRDefault="005C0F84" w:rsidP="005C0F84">
      <w:pPr>
        <w:pStyle w:val="NormalWeb"/>
        <w:numPr>
          <w:ilvl w:val="0"/>
          <w:numId w:val="46"/>
        </w:numPr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09641C">
        <w:rPr>
          <w:rFonts w:ascii="Times New Roman" w:hAnsi="Times New Roman" w:cs="Times New Roman"/>
          <w:bCs/>
          <w:color w:val="000000" w:themeColor="text1"/>
        </w:rPr>
        <w:t>M</w:t>
      </w:r>
      <w:r w:rsidRPr="005C0F84">
        <w:rPr>
          <w:rFonts w:ascii="Times New Roman" w:eastAsiaTheme="minorHAnsi" w:hAnsi="Times New Roman" w:cs="Times New Roman"/>
          <w:color w:val="000000" w:themeColor="text1"/>
          <w:lang w:eastAsia="en-US"/>
        </w:rPr>
        <w:t>aior</w:t>
      </w:r>
      <w:r w:rsidRPr="005C0F84">
        <w:rPr>
          <w:rFonts w:ascii="Times New Roman" w:eastAsiaTheme="minorHAnsi" w:hAnsi="Times New Roman" w:cs="Times New Roman"/>
          <w:color w:val="000000"/>
          <w:lang w:eastAsia="en-US"/>
        </w:rPr>
        <w:t xml:space="preserve"> empenho dos gestores municipais no desenvolvimento de ações que impactem na melhoria dos indicadores de saúde, diminuindo os altos índices de morbimortalidade</w:t>
      </w:r>
      <w:r w:rsidR="0009641C">
        <w:rPr>
          <w:rFonts w:ascii="Times New Roman" w:eastAsiaTheme="minorHAnsi" w:hAnsi="Times New Roman" w:cs="Times New Roman"/>
          <w:color w:val="000000"/>
          <w:lang w:eastAsia="en-US"/>
        </w:rPr>
        <w:t>;</w:t>
      </w:r>
      <w:r w:rsidRPr="005C0F8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5C0F84" w:rsidRPr="005C0F84" w:rsidRDefault="005C0F84" w:rsidP="005C0F84">
      <w:pPr>
        <w:pStyle w:val="PargrafodaLista"/>
        <w:numPr>
          <w:ilvl w:val="0"/>
          <w:numId w:val="4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sz w:val="24"/>
          <w:szCs w:val="24"/>
        </w:rPr>
        <w:t>Maior monitoramento</w:t>
      </w:r>
      <w:r w:rsidR="0009641C" w:rsidRPr="0009641C">
        <w:rPr>
          <w:rFonts w:ascii="Times New Roman" w:hAnsi="Times New Roman" w:cs="Times New Roman"/>
          <w:sz w:val="24"/>
          <w:szCs w:val="24"/>
        </w:rPr>
        <w:t xml:space="preserve"> </w:t>
      </w:r>
      <w:r w:rsidR="0009641C" w:rsidRPr="005C0F84">
        <w:rPr>
          <w:rFonts w:ascii="Times New Roman" w:hAnsi="Times New Roman" w:cs="Times New Roman"/>
          <w:sz w:val="24"/>
          <w:szCs w:val="24"/>
        </w:rPr>
        <w:t>e cooperação técnica aos municípios</w:t>
      </w:r>
      <w:r w:rsidRPr="005C0F84">
        <w:rPr>
          <w:rFonts w:ascii="Times New Roman" w:hAnsi="Times New Roman" w:cs="Times New Roman"/>
          <w:sz w:val="24"/>
          <w:szCs w:val="24"/>
        </w:rPr>
        <w:t xml:space="preserve"> </w:t>
      </w:r>
      <w:r w:rsidR="0009641C">
        <w:rPr>
          <w:rFonts w:ascii="Times New Roman" w:hAnsi="Times New Roman" w:cs="Times New Roman"/>
          <w:sz w:val="24"/>
          <w:szCs w:val="24"/>
        </w:rPr>
        <w:t>referente</w:t>
      </w:r>
      <w:r w:rsidR="002D54A1">
        <w:rPr>
          <w:rFonts w:ascii="Times New Roman" w:hAnsi="Times New Roman" w:cs="Times New Roman"/>
          <w:sz w:val="24"/>
          <w:szCs w:val="24"/>
        </w:rPr>
        <w:t>s à</w:t>
      </w:r>
      <w:r w:rsidRPr="005C0F84">
        <w:rPr>
          <w:rFonts w:ascii="Times New Roman" w:hAnsi="Times New Roman" w:cs="Times New Roman"/>
          <w:sz w:val="24"/>
          <w:szCs w:val="24"/>
        </w:rPr>
        <w:t xml:space="preserve"> cobertura vacinal;</w:t>
      </w:r>
    </w:p>
    <w:p w:rsidR="005C0F84" w:rsidRPr="005C0F84" w:rsidRDefault="005C0F84" w:rsidP="005C0F84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sz w:val="24"/>
          <w:szCs w:val="24"/>
        </w:rPr>
        <w:t>Maior eficiência na arrecadação estadual diante das receitas geradas, bem como maior capacidade de investimento público,</w:t>
      </w:r>
      <w:r w:rsidR="002D54A1">
        <w:rPr>
          <w:rFonts w:ascii="Times New Roman" w:hAnsi="Times New Roman" w:cs="Times New Roman"/>
          <w:sz w:val="24"/>
          <w:szCs w:val="24"/>
        </w:rPr>
        <w:t xml:space="preserve"> e menor informalidade econômic</w:t>
      </w:r>
      <w:r w:rsidR="000B628C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2D54A1">
        <w:rPr>
          <w:rFonts w:ascii="Times New Roman" w:hAnsi="Times New Roman" w:cs="Times New Roman"/>
          <w:sz w:val="24"/>
          <w:szCs w:val="24"/>
        </w:rPr>
        <w:t>;</w:t>
      </w:r>
      <w:r w:rsidRPr="005C0F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84" w:rsidRPr="005C0F84" w:rsidRDefault="005C0F84" w:rsidP="005C0F84">
      <w:pPr>
        <w:pStyle w:val="PargrafodaLista"/>
        <w:numPr>
          <w:ilvl w:val="0"/>
          <w:numId w:val="4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Maior investimento, principalmente </w:t>
      </w:r>
      <w:r w:rsidR="002D54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na aquisição do</w:t>
      </w:r>
      <w:r w:rsidRPr="005C0F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 medicamentos de alto custo, que tem sido uma das maiores reclamações, principalmente dos usuários de baixa renda</w:t>
      </w:r>
      <w:r w:rsidR="002D54A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5C0F84" w:rsidRPr="005C0F84" w:rsidRDefault="002D54A1" w:rsidP="005C0F84">
      <w:pPr>
        <w:pStyle w:val="PargrafodaLista"/>
        <w:numPr>
          <w:ilvl w:val="0"/>
          <w:numId w:val="4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o estado cumpra seu papel de monitorar</w:t>
      </w:r>
      <w:r w:rsidR="005C0F84" w:rsidRPr="005C0F84">
        <w:rPr>
          <w:rFonts w:ascii="Times New Roman" w:hAnsi="Times New Roman" w:cs="Times New Roman"/>
          <w:sz w:val="24"/>
          <w:szCs w:val="24"/>
        </w:rPr>
        <w:t>, audit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5C0F84" w:rsidRPr="005C0F84">
        <w:rPr>
          <w:rFonts w:ascii="Times New Roman" w:hAnsi="Times New Roman" w:cs="Times New Roman"/>
          <w:sz w:val="24"/>
          <w:szCs w:val="24"/>
        </w:rPr>
        <w:t>e apoi</w:t>
      </w:r>
      <w:r>
        <w:rPr>
          <w:rFonts w:ascii="Times New Roman" w:hAnsi="Times New Roman" w:cs="Times New Roman"/>
          <w:sz w:val="24"/>
          <w:szCs w:val="24"/>
        </w:rPr>
        <w:t>ar</w:t>
      </w:r>
      <w:r w:rsidR="005C0F84" w:rsidRPr="005C0F84">
        <w:rPr>
          <w:rFonts w:ascii="Times New Roman" w:hAnsi="Times New Roman" w:cs="Times New Roman"/>
          <w:sz w:val="24"/>
          <w:szCs w:val="24"/>
        </w:rPr>
        <w:t xml:space="preserve"> técnica e financeiramente</w:t>
      </w:r>
      <w:r>
        <w:rPr>
          <w:rFonts w:ascii="Times New Roman" w:hAnsi="Times New Roman" w:cs="Times New Roman"/>
          <w:sz w:val="24"/>
          <w:szCs w:val="24"/>
        </w:rPr>
        <w:t xml:space="preserve"> os municípios na execução da atenção básica, possibilitando diminuição da demanda</w:t>
      </w:r>
      <w:r w:rsidR="005C0F84" w:rsidRPr="005C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aos serviços </w:t>
      </w:r>
      <w:r w:rsidR="005C0F84" w:rsidRPr="005C0F84">
        <w:rPr>
          <w:rFonts w:ascii="Times New Roman" w:hAnsi="Times New Roman" w:cs="Times New Roman"/>
          <w:sz w:val="24"/>
          <w:szCs w:val="24"/>
        </w:rPr>
        <w:t xml:space="preserve">de média e alta complexidade, </w:t>
      </w:r>
      <w:r>
        <w:rPr>
          <w:rFonts w:ascii="Times New Roman" w:hAnsi="Times New Roman" w:cs="Times New Roman"/>
          <w:sz w:val="24"/>
          <w:szCs w:val="24"/>
        </w:rPr>
        <w:t>reduzindo</w:t>
      </w:r>
      <w:r w:rsidR="005C0F84" w:rsidRPr="005C0F84">
        <w:rPr>
          <w:rFonts w:ascii="Times New Roman" w:hAnsi="Times New Roman" w:cs="Times New Roman"/>
          <w:sz w:val="24"/>
          <w:szCs w:val="24"/>
        </w:rPr>
        <w:t xml:space="preserve"> assim os custos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AC9" w:rsidRPr="00ED7AC9" w:rsidRDefault="005C0F84" w:rsidP="00ED7AC9">
      <w:pPr>
        <w:pStyle w:val="PargrafodaLista"/>
        <w:numPr>
          <w:ilvl w:val="0"/>
          <w:numId w:val="46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AC9">
        <w:rPr>
          <w:rFonts w:ascii="Times New Roman" w:hAnsi="Times New Roman" w:cs="Times New Roman"/>
          <w:sz w:val="24"/>
          <w:szCs w:val="24"/>
        </w:rPr>
        <w:t>Maior investimento nas ações e serviços em saúde, com um olhar diferenciado para a atenção básica;</w:t>
      </w:r>
    </w:p>
    <w:p w:rsidR="005C0F84" w:rsidRPr="00ED7AC9" w:rsidRDefault="005C0F84" w:rsidP="00ED7AC9">
      <w:pPr>
        <w:pStyle w:val="PargrafodaLista"/>
        <w:numPr>
          <w:ilvl w:val="0"/>
          <w:numId w:val="46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D7AC9">
        <w:rPr>
          <w:rFonts w:ascii="Times New Roman" w:hAnsi="Times New Roman" w:cs="Times New Roman"/>
          <w:sz w:val="24"/>
          <w:szCs w:val="24"/>
        </w:rPr>
        <w:t>Maior detalhamento da utilização dos recu</w:t>
      </w:r>
      <w:r w:rsidR="000B628C" w:rsidRPr="00ED7AC9">
        <w:rPr>
          <w:rFonts w:ascii="Times New Roman" w:hAnsi="Times New Roman" w:cs="Times New Roman"/>
          <w:sz w:val="24"/>
          <w:szCs w:val="24"/>
        </w:rPr>
        <w:t>rsos do FECOEP na área de saúde.</w:t>
      </w:r>
    </w:p>
    <w:p w:rsidR="005C0F84" w:rsidRPr="005C0F84" w:rsidRDefault="005C0F84" w:rsidP="005C0F8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2916" w:rsidRPr="005C0F84" w:rsidRDefault="001E2916" w:rsidP="005C0F8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sz w:val="24"/>
          <w:szCs w:val="24"/>
        </w:rPr>
        <w:t xml:space="preserve">Maceió, </w:t>
      </w:r>
      <w:r w:rsidR="005C0F84">
        <w:rPr>
          <w:rFonts w:ascii="Times New Roman" w:hAnsi="Times New Roman" w:cs="Times New Roman"/>
          <w:sz w:val="24"/>
          <w:szCs w:val="24"/>
        </w:rPr>
        <w:t>23 de novembro</w:t>
      </w:r>
      <w:r w:rsidR="00FE3B21" w:rsidRPr="005C0F84">
        <w:rPr>
          <w:rFonts w:ascii="Times New Roman" w:hAnsi="Times New Roman" w:cs="Times New Roman"/>
          <w:sz w:val="24"/>
          <w:szCs w:val="24"/>
        </w:rPr>
        <w:t xml:space="preserve"> de 2020.</w:t>
      </w:r>
      <w:r w:rsidR="00B558E8" w:rsidRPr="005C0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6" w:rsidRPr="005C0F84" w:rsidRDefault="001E291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5C0F84" w:rsidRDefault="001E291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06" w:rsidRPr="005C0F84" w:rsidRDefault="003C3B06" w:rsidP="005C0F8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765" w:rsidRPr="005C0F84" w:rsidRDefault="00481156" w:rsidP="005C0F84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0F84">
        <w:rPr>
          <w:rFonts w:ascii="Times New Roman" w:hAnsi="Times New Roman" w:cs="Times New Roman"/>
          <w:sz w:val="24"/>
          <w:szCs w:val="24"/>
        </w:rPr>
        <w:t>JOSÉ FRANCISCO DE LIMA</w:t>
      </w:r>
    </w:p>
    <w:p w:rsidR="002222C9" w:rsidRPr="005C0F84" w:rsidRDefault="00481156" w:rsidP="005C0F84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F84">
        <w:rPr>
          <w:rFonts w:ascii="Times New Roman" w:hAnsi="Times New Roman" w:cs="Times New Roman"/>
          <w:sz w:val="24"/>
          <w:szCs w:val="24"/>
        </w:rPr>
        <w:t>Presidente do Conselho Estadual de Saúde</w:t>
      </w:r>
    </w:p>
    <w:p w:rsidR="00AF2CA8" w:rsidRPr="005C0F84" w:rsidRDefault="00AF2CA8" w:rsidP="005C0F84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5C0F84" w:rsidRDefault="001E2916" w:rsidP="005C0F84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F84">
        <w:rPr>
          <w:rFonts w:ascii="Times New Roman" w:hAnsi="Times New Roman" w:cs="Times New Roman"/>
          <w:color w:val="000000"/>
          <w:sz w:val="24"/>
          <w:szCs w:val="24"/>
        </w:rPr>
        <w:t>Homologo a Resolução nº 0</w:t>
      </w:r>
      <w:r w:rsidR="00275A12" w:rsidRPr="005C0F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C0F8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C0F8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B558E8"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C0F84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C22EC8"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, nos termos da Lei nº. 8.142 de 28 de dezembro de 1990 e da Resolução nº. 453, do Conselho Nacional de Saúde de </w:t>
      </w:r>
      <w:r w:rsidR="00131D2B" w:rsidRPr="005C0F84">
        <w:rPr>
          <w:rFonts w:ascii="Times New Roman" w:hAnsi="Times New Roman" w:cs="Times New Roman"/>
          <w:color w:val="000000"/>
          <w:sz w:val="24"/>
          <w:szCs w:val="24"/>
        </w:rPr>
        <w:t>10 de maio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31D2B" w:rsidRPr="005C0F8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C0F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389" w:rsidRPr="005C0F84" w:rsidRDefault="00AC4389" w:rsidP="005C0F84">
      <w:pPr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222C9" w:rsidRPr="005C0F84" w:rsidRDefault="002222C9" w:rsidP="005C0F84">
      <w:pPr>
        <w:spacing w:before="120"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B558E8" w:rsidRPr="005C0F84" w:rsidRDefault="00B558E8" w:rsidP="005C0F84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0F8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CLAÚDIO ALEXANDRE AYRES DA COSTA</w:t>
      </w:r>
    </w:p>
    <w:p w:rsidR="001E2916" w:rsidRPr="005C0F84" w:rsidRDefault="001E2916" w:rsidP="005C0F84">
      <w:pPr>
        <w:spacing w:before="12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0F84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5C0F84" w:rsidSect="00321A47">
      <w:headerReference w:type="default" r:id="rId8"/>
      <w:pgSz w:w="11906" w:h="16838" w:code="9"/>
      <w:pgMar w:top="1134" w:right="96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9D" w:rsidRDefault="00B6739D" w:rsidP="001E6818">
      <w:pPr>
        <w:spacing w:after="0" w:line="240" w:lineRule="auto"/>
      </w:pPr>
      <w:r>
        <w:separator/>
      </w:r>
    </w:p>
  </w:endnote>
  <w:endnote w:type="continuationSeparator" w:id="0">
    <w:p w:rsidR="00B6739D" w:rsidRDefault="00B6739D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9D" w:rsidRDefault="00B6739D" w:rsidP="001E6818">
      <w:pPr>
        <w:spacing w:after="0" w:line="240" w:lineRule="auto"/>
      </w:pPr>
      <w:r>
        <w:separator/>
      </w:r>
    </w:p>
  </w:footnote>
  <w:footnote w:type="continuationSeparator" w:id="0">
    <w:p w:rsidR="00B6739D" w:rsidRDefault="00B6739D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9D" w:rsidRDefault="00B6739D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46.35pt" o:ole="" filled="t">
          <v:fill color2="black"/>
          <v:imagedata r:id="rId1" o:title=""/>
        </v:shape>
        <o:OLEObject Type="Embed" ProgID="PBrush" ShapeID="_x0000_i1025" DrawAspect="Content" ObjectID="_1667809468" r:id="rId2"/>
      </w:object>
    </w:r>
  </w:p>
  <w:p w:rsidR="00B6739D" w:rsidRDefault="00B6739D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6739D" w:rsidRDefault="00B6739D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6739D" w:rsidRDefault="00B673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60F"/>
    <w:multiLevelType w:val="hybridMultilevel"/>
    <w:tmpl w:val="D4207D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4226F"/>
    <w:multiLevelType w:val="hybridMultilevel"/>
    <w:tmpl w:val="74A8BAF0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F1D89"/>
    <w:multiLevelType w:val="hybridMultilevel"/>
    <w:tmpl w:val="8208D5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5CA9"/>
    <w:multiLevelType w:val="hybridMultilevel"/>
    <w:tmpl w:val="ECE221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5B5A"/>
    <w:multiLevelType w:val="hybridMultilevel"/>
    <w:tmpl w:val="BEFC6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E3EB5"/>
    <w:multiLevelType w:val="hybridMultilevel"/>
    <w:tmpl w:val="D932CA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D41EA"/>
    <w:multiLevelType w:val="hybridMultilevel"/>
    <w:tmpl w:val="E3720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F6A68"/>
    <w:multiLevelType w:val="hybridMultilevel"/>
    <w:tmpl w:val="CB006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95964"/>
    <w:multiLevelType w:val="hybridMultilevel"/>
    <w:tmpl w:val="2034B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2C39EF"/>
    <w:multiLevelType w:val="hybridMultilevel"/>
    <w:tmpl w:val="39DC0ABE"/>
    <w:lvl w:ilvl="0" w:tplc="48706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C2FA6"/>
    <w:multiLevelType w:val="hybridMultilevel"/>
    <w:tmpl w:val="56D6D2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B1DA4"/>
    <w:multiLevelType w:val="hybridMultilevel"/>
    <w:tmpl w:val="97B215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56877"/>
    <w:multiLevelType w:val="hybridMultilevel"/>
    <w:tmpl w:val="F9AE2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606C3"/>
    <w:multiLevelType w:val="hybridMultilevel"/>
    <w:tmpl w:val="0FAA5A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1476D"/>
    <w:multiLevelType w:val="hybridMultilevel"/>
    <w:tmpl w:val="C2163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BC4082"/>
    <w:multiLevelType w:val="hybridMultilevel"/>
    <w:tmpl w:val="E362D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08507C"/>
    <w:multiLevelType w:val="hybridMultilevel"/>
    <w:tmpl w:val="B8BA3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A6818"/>
    <w:multiLevelType w:val="hybridMultilevel"/>
    <w:tmpl w:val="FACABE64"/>
    <w:lvl w:ilvl="0" w:tplc="9AFEB0E0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45D01"/>
    <w:multiLevelType w:val="hybridMultilevel"/>
    <w:tmpl w:val="7EDAF0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02FCE"/>
    <w:multiLevelType w:val="hybridMultilevel"/>
    <w:tmpl w:val="50C64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1C5D69"/>
    <w:multiLevelType w:val="hybridMultilevel"/>
    <w:tmpl w:val="B1CA22E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38524F"/>
    <w:multiLevelType w:val="hybridMultilevel"/>
    <w:tmpl w:val="C5EA3C76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C77A0"/>
    <w:multiLevelType w:val="hybridMultilevel"/>
    <w:tmpl w:val="1346AF76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534D1"/>
    <w:multiLevelType w:val="hybridMultilevel"/>
    <w:tmpl w:val="15304408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68B"/>
    <w:multiLevelType w:val="hybridMultilevel"/>
    <w:tmpl w:val="740A3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975B4C"/>
    <w:multiLevelType w:val="hybridMultilevel"/>
    <w:tmpl w:val="7D9AF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F272D1"/>
    <w:multiLevelType w:val="hybridMultilevel"/>
    <w:tmpl w:val="3D681A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787CE4"/>
    <w:multiLevelType w:val="hybridMultilevel"/>
    <w:tmpl w:val="1C66E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B22D7C"/>
    <w:multiLevelType w:val="hybridMultilevel"/>
    <w:tmpl w:val="6414D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FE30F8"/>
    <w:multiLevelType w:val="hybridMultilevel"/>
    <w:tmpl w:val="8A5A33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228ED"/>
    <w:multiLevelType w:val="hybridMultilevel"/>
    <w:tmpl w:val="0B9E1B10"/>
    <w:lvl w:ilvl="0" w:tplc="61706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61235"/>
    <w:multiLevelType w:val="hybridMultilevel"/>
    <w:tmpl w:val="77AA15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22990"/>
    <w:multiLevelType w:val="hybridMultilevel"/>
    <w:tmpl w:val="589A9B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20"/>
  </w:num>
  <w:num w:numId="5">
    <w:abstractNumId w:val="38"/>
  </w:num>
  <w:num w:numId="6">
    <w:abstractNumId w:val="28"/>
  </w:num>
  <w:num w:numId="7">
    <w:abstractNumId w:val="30"/>
  </w:num>
  <w:num w:numId="8">
    <w:abstractNumId w:val="37"/>
  </w:num>
  <w:num w:numId="9">
    <w:abstractNumId w:val="10"/>
  </w:num>
  <w:num w:numId="10">
    <w:abstractNumId w:val="41"/>
  </w:num>
  <w:num w:numId="11">
    <w:abstractNumId w:val="21"/>
  </w:num>
  <w:num w:numId="12">
    <w:abstractNumId w:val="24"/>
  </w:num>
  <w:num w:numId="13">
    <w:abstractNumId w:val="17"/>
  </w:num>
  <w:num w:numId="14">
    <w:abstractNumId w:val="5"/>
  </w:num>
  <w:num w:numId="15">
    <w:abstractNumId w:val="8"/>
  </w:num>
  <w:num w:numId="16">
    <w:abstractNumId w:val="32"/>
  </w:num>
  <w:num w:numId="17">
    <w:abstractNumId w:val="23"/>
  </w:num>
  <w:num w:numId="18">
    <w:abstractNumId w:val="27"/>
  </w:num>
  <w:num w:numId="19">
    <w:abstractNumId w:val="45"/>
  </w:num>
  <w:num w:numId="20">
    <w:abstractNumId w:val="2"/>
  </w:num>
  <w:num w:numId="21">
    <w:abstractNumId w:val="6"/>
  </w:num>
  <w:num w:numId="22">
    <w:abstractNumId w:val="40"/>
  </w:num>
  <w:num w:numId="23">
    <w:abstractNumId w:val="13"/>
  </w:num>
  <w:num w:numId="24">
    <w:abstractNumId w:val="43"/>
  </w:num>
  <w:num w:numId="25">
    <w:abstractNumId w:val="42"/>
  </w:num>
  <w:num w:numId="26">
    <w:abstractNumId w:val="7"/>
  </w:num>
  <w:num w:numId="27">
    <w:abstractNumId w:val="18"/>
  </w:num>
  <w:num w:numId="28">
    <w:abstractNumId w:val="44"/>
  </w:num>
  <w:num w:numId="29">
    <w:abstractNumId w:val="4"/>
  </w:num>
  <w:num w:numId="30">
    <w:abstractNumId w:val="31"/>
  </w:num>
  <w:num w:numId="31">
    <w:abstractNumId w:val="0"/>
  </w:num>
  <w:num w:numId="32">
    <w:abstractNumId w:val="34"/>
  </w:num>
  <w:num w:numId="33">
    <w:abstractNumId w:val="14"/>
  </w:num>
  <w:num w:numId="34">
    <w:abstractNumId w:val="36"/>
  </w:num>
  <w:num w:numId="35">
    <w:abstractNumId w:val="35"/>
  </w:num>
  <w:num w:numId="36">
    <w:abstractNumId w:val="33"/>
  </w:num>
  <w:num w:numId="37">
    <w:abstractNumId w:val="3"/>
  </w:num>
  <w:num w:numId="38">
    <w:abstractNumId w:val="12"/>
  </w:num>
  <w:num w:numId="39">
    <w:abstractNumId w:val="15"/>
  </w:num>
  <w:num w:numId="40">
    <w:abstractNumId w:val="25"/>
  </w:num>
  <w:num w:numId="41">
    <w:abstractNumId w:val="39"/>
  </w:num>
  <w:num w:numId="42">
    <w:abstractNumId w:val="26"/>
  </w:num>
  <w:num w:numId="43">
    <w:abstractNumId w:val="11"/>
  </w:num>
  <w:num w:numId="44">
    <w:abstractNumId w:val="29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46765"/>
    <w:rsid w:val="00056916"/>
    <w:rsid w:val="00062323"/>
    <w:rsid w:val="000715CB"/>
    <w:rsid w:val="00084EFA"/>
    <w:rsid w:val="00087603"/>
    <w:rsid w:val="0009641C"/>
    <w:rsid w:val="000A02DA"/>
    <w:rsid w:val="000A5139"/>
    <w:rsid w:val="000A55FB"/>
    <w:rsid w:val="000B0E28"/>
    <w:rsid w:val="000B628C"/>
    <w:rsid w:val="000C6B55"/>
    <w:rsid w:val="000D6135"/>
    <w:rsid w:val="000E7694"/>
    <w:rsid w:val="000F342D"/>
    <w:rsid w:val="000F589E"/>
    <w:rsid w:val="00113118"/>
    <w:rsid w:val="00124CBA"/>
    <w:rsid w:val="001318F5"/>
    <w:rsid w:val="00131D2B"/>
    <w:rsid w:val="00164A7D"/>
    <w:rsid w:val="001928F2"/>
    <w:rsid w:val="001A2283"/>
    <w:rsid w:val="001A30B8"/>
    <w:rsid w:val="001A346B"/>
    <w:rsid w:val="001A4110"/>
    <w:rsid w:val="001A78D9"/>
    <w:rsid w:val="001B64E9"/>
    <w:rsid w:val="001C0D1A"/>
    <w:rsid w:val="001C28DB"/>
    <w:rsid w:val="001E089E"/>
    <w:rsid w:val="001E2916"/>
    <w:rsid w:val="001E6818"/>
    <w:rsid w:val="001F1DD5"/>
    <w:rsid w:val="001F21E3"/>
    <w:rsid w:val="00203A72"/>
    <w:rsid w:val="0021198F"/>
    <w:rsid w:val="00217ED8"/>
    <w:rsid w:val="002211F8"/>
    <w:rsid w:val="002214F2"/>
    <w:rsid w:val="002222C9"/>
    <w:rsid w:val="0022725F"/>
    <w:rsid w:val="00231AAA"/>
    <w:rsid w:val="00234828"/>
    <w:rsid w:val="0024616E"/>
    <w:rsid w:val="00247228"/>
    <w:rsid w:val="002672F7"/>
    <w:rsid w:val="0026792C"/>
    <w:rsid w:val="002735C3"/>
    <w:rsid w:val="00273CC8"/>
    <w:rsid w:val="00275A12"/>
    <w:rsid w:val="0027646C"/>
    <w:rsid w:val="00276706"/>
    <w:rsid w:val="00277382"/>
    <w:rsid w:val="00282516"/>
    <w:rsid w:val="00283154"/>
    <w:rsid w:val="002854AF"/>
    <w:rsid w:val="00294F5C"/>
    <w:rsid w:val="002A0A18"/>
    <w:rsid w:val="002A7261"/>
    <w:rsid w:val="002B4B3C"/>
    <w:rsid w:val="002B4F93"/>
    <w:rsid w:val="002B5C8A"/>
    <w:rsid w:val="002C22F0"/>
    <w:rsid w:val="002C6696"/>
    <w:rsid w:val="002D0D2D"/>
    <w:rsid w:val="002D24EB"/>
    <w:rsid w:val="002D2B7E"/>
    <w:rsid w:val="002D4E46"/>
    <w:rsid w:val="002D54A1"/>
    <w:rsid w:val="002D60CB"/>
    <w:rsid w:val="002E1181"/>
    <w:rsid w:val="002E1618"/>
    <w:rsid w:val="002E2667"/>
    <w:rsid w:val="00312F29"/>
    <w:rsid w:val="00321A47"/>
    <w:rsid w:val="00321FAB"/>
    <w:rsid w:val="00322E21"/>
    <w:rsid w:val="00365E79"/>
    <w:rsid w:val="00365E81"/>
    <w:rsid w:val="003726F2"/>
    <w:rsid w:val="0037711C"/>
    <w:rsid w:val="003960D9"/>
    <w:rsid w:val="003A04C0"/>
    <w:rsid w:val="003A1A22"/>
    <w:rsid w:val="003A5B5B"/>
    <w:rsid w:val="003A6BBB"/>
    <w:rsid w:val="003C3B06"/>
    <w:rsid w:val="003C524E"/>
    <w:rsid w:val="003D16FF"/>
    <w:rsid w:val="003D2E7F"/>
    <w:rsid w:val="003D73B2"/>
    <w:rsid w:val="003E4759"/>
    <w:rsid w:val="003F2E1E"/>
    <w:rsid w:val="003F735E"/>
    <w:rsid w:val="00413D6E"/>
    <w:rsid w:val="0042015A"/>
    <w:rsid w:val="00423D4B"/>
    <w:rsid w:val="00427ECA"/>
    <w:rsid w:val="0043359F"/>
    <w:rsid w:val="00450E2F"/>
    <w:rsid w:val="004519ED"/>
    <w:rsid w:val="00451AEE"/>
    <w:rsid w:val="0045247B"/>
    <w:rsid w:val="00456817"/>
    <w:rsid w:val="00461CF6"/>
    <w:rsid w:val="004631D9"/>
    <w:rsid w:val="00464573"/>
    <w:rsid w:val="00466116"/>
    <w:rsid w:val="004700A8"/>
    <w:rsid w:val="00471A81"/>
    <w:rsid w:val="00473E67"/>
    <w:rsid w:val="0047730E"/>
    <w:rsid w:val="00481156"/>
    <w:rsid w:val="0048235D"/>
    <w:rsid w:val="0048396C"/>
    <w:rsid w:val="0048773A"/>
    <w:rsid w:val="00487F57"/>
    <w:rsid w:val="004A3F90"/>
    <w:rsid w:val="004B29C1"/>
    <w:rsid w:val="004B3EFC"/>
    <w:rsid w:val="004C19D1"/>
    <w:rsid w:val="004C2C86"/>
    <w:rsid w:val="004C4650"/>
    <w:rsid w:val="004D2B50"/>
    <w:rsid w:val="004D67AD"/>
    <w:rsid w:val="004E0D56"/>
    <w:rsid w:val="004E2B85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6E99"/>
    <w:rsid w:val="005773F1"/>
    <w:rsid w:val="00580227"/>
    <w:rsid w:val="005810AE"/>
    <w:rsid w:val="005828EF"/>
    <w:rsid w:val="00583C61"/>
    <w:rsid w:val="005843C9"/>
    <w:rsid w:val="00594F3A"/>
    <w:rsid w:val="00597918"/>
    <w:rsid w:val="005A030F"/>
    <w:rsid w:val="005A51EB"/>
    <w:rsid w:val="005C0F84"/>
    <w:rsid w:val="005D42EB"/>
    <w:rsid w:val="005D5507"/>
    <w:rsid w:val="005D5707"/>
    <w:rsid w:val="005D735E"/>
    <w:rsid w:val="005E087B"/>
    <w:rsid w:val="005E312D"/>
    <w:rsid w:val="005F070E"/>
    <w:rsid w:val="005F30F8"/>
    <w:rsid w:val="0060122F"/>
    <w:rsid w:val="00606E5D"/>
    <w:rsid w:val="00613B81"/>
    <w:rsid w:val="00615762"/>
    <w:rsid w:val="00621BB0"/>
    <w:rsid w:val="0063344A"/>
    <w:rsid w:val="00644212"/>
    <w:rsid w:val="006469E2"/>
    <w:rsid w:val="00647372"/>
    <w:rsid w:val="006657BF"/>
    <w:rsid w:val="00667B77"/>
    <w:rsid w:val="00671245"/>
    <w:rsid w:val="00684095"/>
    <w:rsid w:val="006865D3"/>
    <w:rsid w:val="006B0634"/>
    <w:rsid w:val="006B1955"/>
    <w:rsid w:val="006B2F9A"/>
    <w:rsid w:val="006C7FF2"/>
    <w:rsid w:val="006D2E50"/>
    <w:rsid w:val="006F1AAE"/>
    <w:rsid w:val="006F2AD3"/>
    <w:rsid w:val="006F42FE"/>
    <w:rsid w:val="00703B19"/>
    <w:rsid w:val="00716EE9"/>
    <w:rsid w:val="0072435D"/>
    <w:rsid w:val="0072534B"/>
    <w:rsid w:val="0072713A"/>
    <w:rsid w:val="00731698"/>
    <w:rsid w:val="007336D3"/>
    <w:rsid w:val="00734757"/>
    <w:rsid w:val="007449C3"/>
    <w:rsid w:val="0074541D"/>
    <w:rsid w:val="00751182"/>
    <w:rsid w:val="00752239"/>
    <w:rsid w:val="00753785"/>
    <w:rsid w:val="00760344"/>
    <w:rsid w:val="00770030"/>
    <w:rsid w:val="007759E5"/>
    <w:rsid w:val="00776AE5"/>
    <w:rsid w:val="00781387"/>
    <w:rsid w:val="007876CD"/>
    <w:rsid w:val="007904F1"/>
    <w:rsid w:val="007A546C"/>
    <w:rsid w:val="007C123E"/>
    <w:rsid w:val="007C415C"/>
    <w:rsid w:val="007C5B7B"/>
    <w:rsid w:val="007D0295"/>
    <w:rsid w:val="007E2770"/>
    <w:rsid w:val="007E35AF"/>
    <w:rsid w:val="007E39F0"/>
    <w:rsid w:val="007F0849"/>
    <w:rsid w:val="007F17F6"/>
    <w:rsid w:val="007F47E3"/>
    <w:rsid w:val="00806289"/>
    <w:rsid w:val="00811F19"/>
    <w:rsid w:val="008123D4"/>
    <w:rsid w:val="00834948"/>
    <w:rsid w:val="0083653F"/>
    <w:rsid w:val="0083750E"/>
    <w:rsid w:val="00837973"/>
    <w:rsid w:val="008429AC"/>
    <w:rsid w:val="00842E66"/>
    <w:rsid w:val="00850999"/>
    <w:rsid w:val="00855243"/>
    <w:rsid w:val="008573CE"/>
    <w:rsid w:val="00863B19"/>
    <w:rsid w:val="008641BC"/>
    <w:rsid w:val="008677C3"/>
    <w:rsid w:val="0088134D"/>
    <w:rsid w:val="00890662"/>
    <w:rsid w:val="00897B3F"/>
    <w:rsid w:val="008A2817"/>
    <w:rsid w:val="008A627F"/>
    <w:rsid w:val="008A7AF9"/>
    <w:rsid w:val="008B05BF"/>
    <w:rsid w:val="008B66BA"/>
    <w:rsid w:val="008C2EC6"/>
    <w:rsid w:val="008C6ED8"/>
    <w:rsid w:val="008F4533"/>
    <w:rsid w:val="008F57D4"/>
    <w:rsid w:val="0090088B"/>
    <w:rsid w:val="00903F8A"/>
    <w:rsid w:val="00917F67"/>
    <w:rsid w:val="00923279"/>
    <w:rsid w:val="00924686"/>
    <w:rsid w:val="00930591"/>
    <w:rsid w:val="00935192"/>
    <w:rsid w:val="00937D75"/>
    <w:rsid w:val="00955DC1"/>
    <w:rsid w:val="00964DF5"/>
    <w:rsid w:val="0097483C"/>
    <w:rsid w:val="00975333"/>
    <w:rsid w:val="009825DE"/>
    <w:rsid w:val="0098445D"/>
    <w:rsid w:val="00987DAB"/>
    <w:rsid w:val="00990C30"/>
    <w:rsid w:val="00992B13"/>
    <w:rsid w:val="009A0120"/>
    <w:rsid w:val="009A11EA"/>
    <w:rsid w:val="009C175A"/>
    <w:rsid w:val="009C427A"/>
    <w:rsid w:val="009D39EE"/>
    <w:rsid w:val="009D4B10"/>
    <w:rsid w:val="009E5C18"/>
    <w:rsid w:val="009F101E"/>
    <w:rsid w:val="009F1B66"/>
    <w:rsid w:val="009F579F"/>
    <w:rsid w:val="00A07057"/>
    <w:rsid w:val="00A1139F"/>
    <w:rsid w:val="00A11569"/>
    <w:rsid w:val="00A121F6"/>
    <w:rsid w:val="00A3147A"/>
    <w:rsid w:val="00A3380F"/>
    <w:rsid w:val="00A52AF0"/>
    <w:rsid w:val="00A60911"/>
    <w:rsid w:val="00A6157F"/>
    <w:rsid w:val="00A64395"/>
    <w:rsid w:val="00A7077B"/>
    <w:rsid w:val="00A710DA"/>
    <w:rsid w:val="00A77A2F"/>
    <w:rsid w:val="00A85F9C"/>
    <w:rsid w:val="00A86432"/>
    <w:rsid w:val="00A87F9C"/>
    <w:rsid w:val="00A918F5"/>
    <w:rsid w:val="00AA36E6"/>
    <w:rsid w:val="00AB2729"/>
    <w:rsid w:val="00AB5B5B"/>
    <w:rsid w:val="00AC3D3A"/>
    <w:rsid w:val="00AC4389"/>
    <w:rsid w:val="00AF2CA8"/>
    <w:rsid w:val="00B00981"/>
    <w:rsid w:val="00B00E08"/>
    <w:rsid w:val="00B056C1"/>
    <w:rsid w:val="00B1200C"/>
    <w:rsid w:val="00B15234"/>
    <w:rsid w:val="00B1587C"/>
    <w:rsid w:val="00B16BF2"/>
    <w:rsid w:val="00B21C7F"/>
    <w:rsid w:val="00B34088"/>
    <w:rsid w:val="00B47F81"/>
    <w:rsid w:val="00B500F8"/>
    <w:rsid w:val="00B549C4"/>
    <w:rsid w:val="00B556E8"/>
    <w:rsid w:val="00B558E8"/>
    <w:rsid w:val="00B6739D"/>
    <w:rsid w:val="00B77404"/>
    <w:rsid w:val="00B80F5C"/>
    <w:rsid w:val="00B8438F"/>
    <w:rsid w:val="00BA0582"/>
    <w:rsid w:val="00BA4BFA"/>
    <w:rsid w:val="00BB279C"/>
    <w:rsid w:val="00BC30B3"/>
    <w:rsid w:val="00BC54D7"/>
    <w:rsid w:val="00BD30FD"/>
    <w:rsid w:val="00BD4432"/>
    <w:rsid w:val="00BD585E"/>
    <w:rsid w:val="00BD68A4"/>
    <w:rsid w:val="00BE3546"/>
    <w:rsid w:val="00C075C5"/>
    <w:rsid w:val="00C105EE"/>
    <w:rsid w:val="00C174F1"/>
    <w:rsid w:val="00C22EC8"/>
    <w:rsid w:val="00C23936"/>
    <w:rsid w:val="00C3208A"/>
    <w:rsid w:val="00C3284A"/>
    <w:rsid w:val="00C44758"/>
    <w:rsid w:val="00C51A11"/>
    <w:rsid w:val="00C56B21"/>
    <w:rsid w:val="00C61EB1"/>
    <w:rsid w:val="00C733C1"/>
    <w:rsid w:val="00C83A81"/>
    <w:rsid w:val="00C859CD"/>
    <w:rsid w:val="00C8735D"/>
    <w:rsid w:val="00CB0781"/>
    <w:rsid w:val="00CB0ED5"/>
    <w:rsid w:val="00CB5AE6"/>
    <w:rsid w:val="00CC7C4E"/>
    <w:rsid w:val="00CD6A0E"/>
    <w:rsid w:val="00CE70EB"/>
    <w:rsid w:val="00CF0B41"/>
    <w:rsid w:val="00D032C6"/>
    <w:rsid w:val="00D07037"/>
    <w:rsid w:val="00D07812"/>
    <w:rsid w:val="00D116B4"/>
    <w:rsid w:val="00D41E15"/>
    <w:rsid w:val="00D456CF"/>
    <w:rsid w:val="00D56139"/>
    <w:rsid w:val="00D57E67"/>
    <w:rsid w:val="00D81A9D"/>
    <w:rsid w:val="00D939E8"/>
    <w:rsid w:val="00D96723"/>
    <w:rsid w:val="00D9796C"/>
    <w:rsid w:val="00DA6028"/>
    <w:rsid w:val="00DB3BB8"/>
    <w:rsid w:val="00DB5A96"/>
    <w:rsid w:val="00DB6E22"/>
    <w:rsid w:val="00DF23B8"/>
    <w:rsid w:val="00E01659"/>
    <w:rsid w:val="00E1595C"/>
    <w:rsid w:val="00E17E4F"/>
    <w:rsid w:val="00E309CF"/>
    <w:rsid w:val="00E31DAA"/>
    <w:rsid w:val="00E368FB"/>
    <w:rsid w:val="00E41D42"/>
    <w:rsid w:val="00E43BAF"/>
    <w:rsid w:val="00E52342"/>
    <w:rsid w:val="00E5500E"/>
    <w:rsid w:val="00E61E00"/>
    <w:rsid w:val="00E739E3"/>
    <w:rsid w:val="00E77989"/>
    <w:rsid w:val="00E80D05"/>
    <w:rsid w:val="00E83F61"/>
    <w:rsid w:val="00E84C0A"/>
    <w:rsid w:val="00E9068F"/>
    <w:rsid w:val="00E911A6"/>
    <w:rsid w:val="00EA0C19"/>
    <w:rsid w:val="00EA474B"/>
    <w:rsid w:val="00EC2989"/>
    <w:rsid w:val="00ED0933"/>
    <w:rsid w:val="00ED2299"/>
    <w:rsid w:val="00ED4AC3"/>
    <w:rsid w:val="00ED7AC9"/>
    <w:rsid w:val="00EE73A0"/>
    <w:rsid w:val="00EF1DC7"/>
    <w:rsid w:val="00F01144"/>
    <w:rsid w:val="00F02DDC"/>
    <w:rsid w:val="00F05BDF"/>
    <w:rsid w:val="00F207BD"/>
    <w:rsid w:val="00F403E8"/>
    <w:rsid w:val="00F44118"/>
    <w:rsid w:val="00F51AE7"/>
    <w:rsid w:val="00F522C0"/>
    <w:rsid w:val="00F57B04"/>
    <w:rsid w:val="00F71769"/>
    <w:rsid w:val="00F750BC"/>
    <w:rsid w:val="00F8007E"/>
    <w:rsid w:val="00FA2716"/>
    <w:rsid w:val="00FA2EE1"/>
    <w:rsid w:val="00FB18AF"/>
    <w:rsid w:val="00FB6361"/>
    <w:rsid w:val="00FC1F3E"/>
    <w:rsid w:val="00FC3AFA"/>
    <w:rsid w:val="00FD09D3"/>
    <w:rsid w:val="00FD19F8"/>
    <w:rsid w:val="00FE16C6"/>
    <w:rsid w:val="00FE3B21"/>
    <w:rsid w:val="00FE5E9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59"/>
    <w:rsid w:val="006157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  <w:style w:type="paragraph" w:customStyle="1" w:styleId="Default">
    <w:name w:val="Default"/>
    <w:rsid w:val="002E161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59"/>
    <w:rsid w:val="0061576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  <w:style w:type="paragraph" w:customStyle="1" w:styleId="Default">
    <w:name w:val="Default"/>
    <w:rsid w:val="002E1618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2310</Words>
  <Characters>12332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John Carlos Muniz da Silva</cp:lastModifiedBy>
  <cp:revision>115</cp:revision>
  <cp:lastPrinted>2020-09-03T11:55:00Z</cp:lastPrinted>
  <dcterms:created xsi:type="dcterms:W3CDTF">2020-09-03T11:56:00Z</dcterms:created>
  <dcterms:modified xsi:type="dcterms:W3CDTF">2020-11-25T14:38:00Z</dcterms:modified>
</cp:coreProperties>
</file>